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279"/>
        <w:gridCol w:w="178"/>
        <w:gridCol w:w="533"/>
        <w:gridCol w:w="756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532"/>
      </w:tblGrid>
      <w:tr w:rsidR="00120CB1" w:rsidRPr="00917F89" w14:paraId="025C85DE" w14:textId="77777777" w:rsidTr="00BC3C36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E37FC84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Course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4DF3763" w14:textId="10A77D67" w:rsidR="00120CB1" w:rsidRPr="002439BC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kern w:val="0"/>
                <w:sz w:val="20"/>
                <w:szCs w:val="20"/>
                <w:lang w:val="en-GB" w:eastAsia="zh-CN"/>
                <w14:ligatures w14:val="none"/>
              </w:rPr>
            </w:pPr>
            <w:r w:rsidRPr="002439BC">
              <w:rPr>
                <w:rFonts w:ascii="Times New Roman" w:eastAsia="Calibri" w:hAnsi="Times New Roman" w:cs="Times New Roman"/>
                <w:b/>
                <w:color w:val="000000" w:themeColor="text1"/>
                <w:kern w:val="0"/>
                <w:sz w:val="22"/>
                <w:szCs w:val="22"/>
                <w:lang w:val="en-US"/>
                <w14:ligatures w14:val="none"/>
              </w:rPr>
              <w:t xml:space="preserve">EUROPEAN </w:t>
            </w:r>
            <w:r w:rsidR="003478DC">
              <w:rPr>
                <w:rFonts w:ascii="Times New Roman" w:eastAsia="Calibri" w:hAnsi="Times New Roman" w:cs="Times New Roman"/>
                <w:b/>
                <w:color w:val="000000" w:themeColor="text1"/>
                <w:kern w:val="0"/>
                <w:sz w:val="22"/>
                <w:szCs w:val="22"/>
                <w:lang w:val="en-US"/>
                <w14:ligatures w14:val="none"/>
              </w:rPr>
              <w:t xml:space="preserve">UNION </w:t>
            </w:r>
            <w:r w:rsidRPr="002439BC">
              <w:rPr>
                <w:rFonts w:ascii="Times New Roman" w:eastAsia="Calibri" w:hAnsi="Times New Roman" w:cs="Times New Roman"/>
                <w:b/>
                <w:color w:val="000000" w:themeColor="text1"/>
                <w:kern w:val="0"/>
                <w:sz w:val="22"/>
                <w:szCs w:val="22"/>
                <w:lang w:val="en-US"/>
                <w14:ligatures w14:val="none"/>
              </w:rPr>
              <w:t>LAW</w:t>
            </w:r>
          </w:p>
        </w:tc>
      </w:tr>
      <w:tr w:rsidR="00120CB1" w:rsidRPr="00763868" w14:paraId="5D4124A9" w14:textId="77777777" w:rsidTr="00BC3C36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2885244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Koordynator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C8D286" w14:textId="1714C398" w:rsidR="00120CB1" w:rsidRPr="002439BC" w:rsidRDefault="00253CDB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120CB1" w:rsidRPr="00763868" w14:paraId="043B3878" w14:textId="77777777" w:rsidTr="00BC3C36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7285A43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21B8146" w14:textId="469272C3" w:rsidR="00120CB1" w:rsidRPr="002439BC" w:rsidRDefault="00253CDB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120CB1" w:rsidRPr="00763868" w14:paraId="35BBB461" w14:textId="77777777" w:rsidTr="00BC3C36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EF2057E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Form of studies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C9B1ED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p</w:t>
            </w:r>
            <w:r w:rsidRPr="0023392F">
              <w:rPr>
                <w:rFonts w:ascii="Times New Roman" w:eastAsia="SimSun" w:hAnsi="Times New Roman" w:cs="Times New Roman"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art time</w:t>
            </w:r>
          </w:p>
        </w:tc>
      </w:tr>
      <w:tr w:rsidR="00120CB1" w:rsidRPr="00763868" w14:paraId="43C28BE9" w14:textId="77777777" w:rsidTr="00BC3C36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D03BA90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Educational profile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19118A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pra</w:t>
            </w:r>
            <w:r w:rsidRPr="0023392F">
              <w:rPr>
                <w:rFonts w:ascii="Times New Roman" w:eastAsia="SimSun" w:hAnsi="Times New Roman" w:cs="Times New Roman"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ctical</w:t>
            </w:r>
          </w:p>
        </w:tc>
      </w:tr>
      <w:tr w:rsidR="00120CB1" w:rsidRPr="00763868" w14:paraId="0C3C9D5A" w14:textId="77777777" w:rsidTr="00BC3C36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97E4D01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D5CCD4C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kern w:val="0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ob</w:t>
            </w:r>
            <w:r w:rsidRPr="0023392F">
              <w:rPr>
                <w:rFonts w:ascii="Times New Roman" w:eastAsia="SimSun" w:hAnsi="Times New Roman" w:cs="Times New Roman"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ligatory</w:t>
            </w:r>
          </w:p>
        </w:tc>
      </w:tr>
      <w:tr w:rsidR="00120CB1" w:rsidRPr="00763868" w14:paraId="75D2AFEB" w14:textId="77777777" w:rsidTr="00BC3C36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C6D36C7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Form</w:t>
            </w: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 xml:space="preserve"> of the course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DB22CB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kern w:val="0"/>
                <w:sz w:val="22"/>
                <w:szCs w:val="22"/>
                <w:lang w:eastAsia="zh-CN"/>
                <w14:ligatures w14:val="none"/>
              </w:rPr>
            </w:pPr>
            <w:r w:rsidRPr="0023392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conversatorium </w:t>
            </w:r>
          </w:p>
        </w:tc>
      </w:tr>
      <w:tr w:rsidR="00120CB1" w:rsidRPr="00763868" w14:paraId="0F95D5BC" w14:textId="77777777" w:rsidTr="00BC3C36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EB3B2F9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Level of studies, semester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E5C3D0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kern w:val="0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I; II</w:t>
            </w:r>
          </w:p>
        </w:tc>
      </w:tr>
      <w:tr w:rsidR="00120CB1" w:rsidRPr="00E451F9" w14:paraId="5394D47A" w14:textId="77777777" w:rsidTr="00BC3C36">
        <w:trPr>
          <w:trHeight w:val="380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35589B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val="en-GB" w:eastAsia="zh-CN"/>
                <w14:ligatures w14:val="none"/>
              </w:rPr>
              <w:t>Number of hours to accomplish the activity</w:t>
            </w:r>
          </w:p>
        </w:tc>
      </w:tr>
      <w:tr w:rsidR="00120CB1" w:rsidRPr="00763868" w14:paraId="5510A79B" w14:textId="77777777" w:rsidTr="00BC3C36">
        <w:trPr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FA81F92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val="en-GB"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CFE6F3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total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DBD9FC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lecture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466CFD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workshop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D01AF2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coversatorium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A6ABA0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seminar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1300C0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internship</w:t>
            </w:r>
          </w:p>
        </w:tc>
      </w:tr>
      <w:tr w:rsidR="00120CB1" w:rsidRPr="00763868" w14:paraId="4D907F19" w14:textId="77777777" w:rsidTr="00BC3C36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FAC7B0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Number of hours</w:t>
            </w:r>
          </w:p>
        </w:tc>
        <w:tc>
          <w:tcPr>
            <w:tcW w:w="146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CB97BD" w14:textId="69A8B680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  <w:r w:rsidRPr="007638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88D73E" w14:textId="41B1AFFC" w:rsidR="00120CB1" w:rsidRPr="00763868" w:rsidRDefault="00D8433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B65E75" w14:textId="50B657D7" w:rsidR="00120CB1" w:rsidRPr="00763868" w:rsidRDefault="00D8433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226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52A5DD" w14:textId="7C311D8C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  <w:r w:rsidRPr="007638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B1F6C3" w14:textId="1F060E66" w:rsidR="00120CB1" w:rsidRPr="00763868" w:rsidRDefault="00D8433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546AC2" w14:textId="0BBFB559" w:rsidR="00120CB1" w:rsidRPr="00763868" w:rsidRDefault="00D8433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120CB1" w:rsidRPr="00763868" w14:paraId="58763D14" w14:textId="77777777" w:rsidTr="00BC3C36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68CE34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BB7EDA" w14:textId="0AA3E584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FE427E" w14:textId="58B91DBA" w:rsidR="00120CB1" w:rsidRPr="00763868" w:rsidRDefault="00D8433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49B8AF" w14:textId="7E54A2D3" w:rsidR="00120CB1" w:rsidRPr="00763868" w:rsidRDefault="00D8433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2266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3EF468" w14:textId="66F04A98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3303A8" w14:textId="0FF7830C" w:rsidR="00120CB1" w:rsidRPr="00763868" w:rsidRDefault="00D8433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2047FC" w14:textId="256B29B8" w:rsidR="00120CB1" w:rsidRPr="00763868" w:rsidRDefault="00D8433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120CB1" w:rsidRPr="003478DC" w14:paraId="4D568856" w14:textId="77777777" w:rsidTr="00BC3C36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11FA63" w14:textId="77777777" w:rsidR="00120CB1" w:rsidRPr="002439BC" w:rsidRDefault="00120CB1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2"/>
                <w:szCs w:val="22"/>
                <w:lang w:val="en-GB" w:eastAsia="zh-CN"/>
                <w14:ligatures w14:val="none"/>
              </w:rPr>
            </w:pPr>
            <w:r w:rsidRPr="002439BC">
              <w:rPr>
                <w:rFonts w:ascii="Times New Roman" w:eastAsia="Calibri" w:hAnsi="Times New Roman" w:cs="Times New Roman"/>
                <w:b/>
                <w:color w:val="000000" w:themeColor="text1"/>
                <w:sz w:val="22"/>
                <w:szCs w:val="22"/>
                <w:lang w:val="en-US" w:eastAsia="zh-CN"/>
              </w:rPr>
              <w:t>Prerequisites</w:t>
            </w:r>
            <w:r w:rsidRPr="002439BC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:  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BF84CE" w14:textId="1B70CAB7" w:rsidR="00120CB1" w:rsidRPr="00763868" w:rsidRDefault="003478DC" w:rsidP="003478D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Basic knowledge of international relations and law.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B</w:t>
            </w: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asic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 </w:t>
            </w: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skills referring to analysis and interpretation of legal texts</w:t>
            </w:r>
          </w:p>
        </w:tc>
      </w:tr>
      <w:tr w:rsidR="00120CB1" w:rsidRPr="00E451F9" w14:paraId="3E421B8B" w14:textId="77777777" w:rsidTr="00BC3C36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BB9193F" w14:textId="77777777" w:rsidR="00120CB1" w:rsidRPr="00763868" w:rsidRDefault="00120CB1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Objectives </w:t>
            </w:r>
          </w:p>
        </w:tc>
        <w:tc>
          <w:tcPr>
            <w:tcW w:w="8035" w:type="dxa"/>
            <w:gridSpan w:val="1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648512" w14:textId="1D286EC2" w:rsidR="003478DC" w:rsidRPr="003478DC" w:rsidRDefault="003478DC" w:rsidP="003478D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t</w:t>
            </w: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o provide knowledge about legal terminology, principles, legal and politica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l</w:t>
            </w: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 concepts</w:t>
            </w:r>
          </w:p>
          <w:p w14:paraId="5951BD9B" w14:textId="7CF97CF4" w:rsidR="003478DC" w:rsidRPr="003478DC" w:rsidRDefault="003478DC" w:rsidP="003478D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and development of European integration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,,</w:t>
            </w:r>
          </w:p>
          <w:p w14:paraId="2FE3DABF" w14:textId="2F0D1DCA" w:rsidR="003478DC" w:rsidRPr="003478DC" w:rsidRDefault="003478DC" w:rsidP="003478D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t</w:t>
            </w: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o provide knowledge about primary and secondary law of the European Union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,</w:t>
            </w:r>
          </w:p>
          <w:p w14:paraId="38F8DCF9" w14:textId="02091BA0" w:rsidR="00120CB1" w:rsidRPr="00763868" w:rsidRDefault="003478DC" w:rsidP="00120CB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t</w:t>
            </w: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o give a practical ability to understand and analyse sources of EU primary and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 </w:t>
            </w: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secondary law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                      </w:t>
            </w: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as well as interaction between EU and domestic law in the context of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 </w:t>
            </w: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current European legal culture</w:t>
            </w:r>
          </w:p>
        </w:tc>
      </w:tr>
      <w:tr w:rsidR="00120CB1" w:rsidRPr="00E451F9" w14:paraId="0664F948" w14:textId="77777777" w:rsidTr="00BC3C36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276A3B" w14:textId="77777777" w:rsidR="00120CB1" w:rsidRPr="00763868" w:rsidRDefault="00120CB1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Methods of teaaching </w:t>
            </w:r>
          </w:p>
        </w:tc>
        <w:tc>
          <w:tcPr>
            <w:tcW w:w="8035" w:type="dxa"/>
            <w:gridSpan w:val="1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231EE4" w14:textId="35FEA4C2" w:rsidR="00120CB1" w:rsidRPr="00763868" w:rsidRDefault="00120CB1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I</w:t>
            </w:r>
            <w:r w:rsidRPr="00120CB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nstructive and activating methods. Lecture, problem-based lecture based on source materials, presentations</w:t>
            </w:r>
          </w:p>
        </w:tc>
      </w:tr>
      <w:tr w:rsidR="00120CB1" w:rsidRPr="00E451F9" w14:paraId="3F8D807B" w14:textId="77777777" w:rsidTr="00BC3C36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ABBFA92" w14:textId="77777777" w:rsidR="00120CB1" w:rsidRPr="00763868" w:rsidRDefault="00120CB1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35" w:type="dxa"/>
            <w:gridSpan w:val="1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88B4D1" w14:textId="77777777" w:rsidR="00120CB1" w:rsidRPr="00763868" w:rsidRDefault="00120CB1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Multimedia projector, laptop, reference literature, school blackboard</w:t>
            </w:r>
          </w:p>
        </w:tc>
      </w:tr>
      <w:tr w:rsidR="00120CB1" w:rsidRPr="00763868" w14:paraId="31C032E1" w14:textId="77777777" w:rsidTr="00BC3C36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86BE42" w14:textId="77777777" w:rsidR="00120CB1" w:rsidRPr="00763868" w:rsidRDefault="00120CB1" w:rsidP="00BC3C3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3DC011" w14:textId="7AD02D7A" w:rsidR="00120CB1" w:rsidRPr="00763868" w:rsidRDefault="00120CB1" w:rsidP="00BC3C3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FE4111" w14:textId="77777777" w:rsidR="00120CB1" w:rsidRPr="00763868" w:rsidRDefault="00120CB1" w:rsidP="00BC3C3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12EA70" w14:textId="77777777" w:rsidR="00120CB1" w:rsidRPr="00763868" w:rsidRDefault="00120CB1" w:rsidP="00BC3C3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The learning outcomes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B8AC8B" w14:textId="77777777" w:rsidR="00120CB1" w:rsidRPr="00763868" w:rsidRDefault="00120CB1" w:rsidP="00BC3C36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Met</w:t>
            </w: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hods of verification</w:t>
            </w:r>
          </w:p>
        </w:tc>
      </w:tr>
      <w:tr w:rsidR="00120CB1" w:rsidRPr="00917F89" w14:paraId="14D3F1DA" w14:textId="77777777" w:rsidTr="00BC3C36">
        <w:trPr>
          <w:trHeight w:val="300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56CA83F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Knowledge </w:t>
            </w: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47F4FCE" w14:textId="77777777" w:rsidR="00120CB1" w:rsidRPr="00763868" w:rsidRDefault="00120CB1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KP_W02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3256049" w14:textId="77777777" w:rsidR="00120CB1" w:rsidRPr="00763868" w:rsidRDefault="00120CB1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9"/>
            <w:tcBorders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0BEBB12E" w14:textId="188A123F" w:rsidR="00120CB1" w:rsidRPr="00120CB1" w:rsidRDefault="00120CB1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student knows </w:t>
            </w:r>
            <w:r w:rsidRPr="00120CB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basic legal categories (institutions), including in the field of administrative law, their structures, principles of operation and the basic relationships that exist between them, including on international grounds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C53F34" w14:textId="77777777" w:rsid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-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exam</w:t>
            </w:r>
          </w:p>
          <w:p w14:paraId="60D11790" w14:textId="0EE59A21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- </w:t>
            </w: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checking of presence</w:t>
            </w:r>
          </w:p>
          <w:p w14:paraId="5081DDFB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solving cases</w:t>
            </w:r>
          </w:p>
          <w:p w14:paraId="212DCAE4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discussion sessions</w:t>
            </w:r>
          </w:p>
          <w:p w14:paraId="74CD4519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analysis of a legal text</w:t>
            </w:r>
          </w:p>
          <w:p w14:paraId="484EDF29" w14:textId="01E0B9BC" w:rsidR="00120CB1" w:rsidRPr="00763868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presentations</w:t>
            </w:r>
          </w:p>
        </w:tc>
      </w:tr>
      <w:tr w:rsidR="00120CB1" w:rsidRPr="00917F89" w14:paraId="1A442E86" w14:textId="77777777" w:rsidTr="00BC3C36">
        <w:trPr>
          <w:trHeight w:val="38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1F1F663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kern w:val="0"/>
                <w:sz w:val="20"/>
                <w:szCs w:val="20"/>
                <w:lang w:val="en-GB"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5A8604A9" w14:textId="77777777" w:rsidR="00120CB1" w:rsidRPr="00763868" w:rsidRDefault="00120CB1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KP_W04</w:t>
            </w:r>
          </w:p>
          <w:p w14:paraId="626DB949" w14:textId="77777777" w:rsidR="00120CB1" w:rsidRPr="00763868" w:rsidRDefault="00120CB1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KP_W09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66A02F5" w14:textId="77777777" w:rsidR="00120CB1" w:rsidRPr="00763868" w:rsidRDefault="00120CB1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4C0037E3" w14:textId="735F6BF8" w:rsidR="00120CB1" w:rsidRPr="00120CB1" w:rsidRDefault="00120CB1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120CB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student knows the competencies of the main EU institutions and understands how the norms of EU law are created and applied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41EABF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exam</w:t>
            </w:r>
          </w:p>
          <w:p w14:paraId="24D771F0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checking of presence</w:t>
            </w:r>
          </w:p>
          <w:p w14:paraId="783AC1C7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solving cases</w:t>
            </w:r>
          </w:p>
          <w:p w14:paraId="0128D4FA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discussion sessions</w:t>
            </w:r>
          </w:p>
          <w:p w14:paraId="167F1AAB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analysis of a legal text</w:t>
            </w:r>
          </w:p>
          <w:p w14:paraId="4CE22221" w14:textId="252ECD2B" w:rsidR="00120CB1" w:rsidRPr="00763868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presentations</w:t>
            </w:r>
          </w:p>
        </w:tc>
      </w:tr>
      <w:tr w:rsidR="00120CB1" w:rsidRPr="00917F89" w14:paraId="6A4E25E1" w14:textId="77777777" w:rsidTr="00BC3C36">
        <w:trPr>
          <w:trHeight w:val="112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B978B0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kern w:val="0"/>
                <w:sz w:val="20"/>
                <w:szCs w:val="20"/>
                <w:lang w:val="en-GB"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A57BFA6" w14:textId="77777777" w:rsidR="00120CB1" w:rsidRPr="00763868" w:rsidRDefault="00120CB1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KP_W06</w:t>
            </w:r>
          </w:p>
          <w:p w14:paraId="335FF043" w14:textId="77777777" w:rsidR="00120CB1" w:rsidRPr="00763868" w:rsidRDefault="00120CB1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KP_W08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2911395" w14:textId="77777777" w:rsidR="00120CB1" w:rsidRPr="00763868" w:rsidRDefault="00120CB1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EPW3</w:t>
            </w:r>
          </w:p>
        </w:tc>
        <w:tc>
          <w:tcPr>
            <w:tcW w:w="5767" w:type="dxa"/>
            <w:gridSpan w:val="9"/>
            <w:tcBorders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12A8FB6C" w14:textId="03EAB423" w:rsidR="00120CB1" w:rsidRPr="00120CB1" w:rsidRDefault="00120CB1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120CB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student knows the relevant relationships between structures and institutions in the EU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6B2A2C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exam</w:t>
            </w:r>
          </w:p>
          <w:p w14:paraId="1B3D9C26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checking of presence</w:t>
            </w:r>
          </w:p>
          <w:p w14:paraId="259C2031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solving cases</w:t>
            </w:r>
          </w:p>
          <w:p w14:paraId="718BCF17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discussion sessions</w:t>
            </w:r>
          </w:p>
          <w:p w14:paraId="1B9496A6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analysis of a legal text</w:t>
            </w:r>
          </w:p>
          <w:p w14:paraId="77C20BDD" w14:textId="2E642A5C" w:rsidR="00120CB1" w:rsidRPr="00763868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presentations</w:t>
            </w:r>
          </w:p>
        </w:tc>
      </w:tr>
      <w:tr w:rsidR="00120CB1" w:rsidRPr="00917F89" w14:paraId="14D4CDA9" w14:textId="77777777" w:rsidTr="00BC3C36">
        <w:trPr>
          <w:trHeight w:val="205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31007AC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Skills</w:t>
            </w: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90330A5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KP_U02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A6DF7A4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9"/>
            <w:tcBorders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67C23647" w14:textId="65B555DE" w:rsidR="00120CB1" w:rsidRPr="00380E33" w:rsidRDefault="00380E33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80E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student is able to search, select and correctly use information, using an appropriate selection of sources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4F6994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exam</w:t>
            </w:r>
          </w:p>
          <w:p w14:paraId="3A920C9C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checking of presence</w:t>
            </w:r>
          </w:p>
          <w:p w14:paraId="0FFA9F35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solving cases</w:t>
            </w:r>
          </w:p>
          <w:p w14:paraId="1CBA6243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discussion sessions</w:t>
            </w:r>
          </w:p>
          <w:p w14:paraId="35586C0C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analysis of a legal text</w:t>
            </w:r>
          </w:p>
          <w:p w14:paraId="20A92A9F" w14:textId="1C35DBAF" w:rsidR="00120CB1" w:rsidRPr="00763868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presentations</w:t>
            </w:r>
          </w:p>
        </w:tc>
      </w:tr>
      <w:tr w:rsidR="00120CB1" w:rsidRPr="00917F89" w14:paraId="0EDF6245" w14:textId="77777777" w:rsidTr="00BC3C36">
        <w:trPr>
          <w:trHeight w:val="12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2E29334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kern w:val="0"/>
                <w:sz w:val="20"/>
                <w:szCs w:val="20"/>
                <w:lang w:val="en-GB"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935FE52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KP_U03</w:t>
            </w:r>
          </w:p>
          <w:p w14:paraId="776A4DC0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KP_U07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435C745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5E2A7A1B" w14:textId="213928AE" w:rsidR="00120CB1" w:rsidRPr="00380E33" w:rsidRDefault="00380E33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s</w:t>
            </w:r>
            <w:r w:rsidRPr="00380E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tudent is able to correctly use basic terminology of EU institutions and identify EU legal acts. He/she is able, on the basis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                                           </w:t>
            </w:r>
            <w:r w:rsidRPr="00380E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of his/her theoretical knowledge and independent observation and analysis - to prepare a speech/presentation on individual EU institutions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61C470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exam</w:t>
            </w:r>
          </w:p>
          <w:p w14:paraId="42B9EFED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checking of presence</w:t>
            </w:r>
          </w:p>
          <w:p w14:paraId="72363F05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solving cases</w:t>
            </w:r>
          </w:p>
          <w:p w14:paraId="261CA08C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discussion sessions</w:t>
            </w:r>
          </w:p>
          <w:p w14:paraId="3347ECE8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analysis of a legal text</w:t>
            </w:r>
          </w:p>
          <w:p w14:paraId="462830A7" w14:textId="69585626" w:rsidR="00120CB1" w:rsidRPr="00763868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presentations</w:t>
            </w:r>
          </w:p>
        </w:tc>
      </w:tr>
      <w:tr w:rsidR="00120CB1" w:rsidRPr="00917F89" w14:paraId="0C9CFCD9" w14:textId="77777777" w:rsidTr="00BC3C36">
        <w:trPr>
          <w:trHeight w:val="200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AC99E40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kern w:val="0"/>
                <w:sz w:val="20"/>
                <w:szCs w:val="20"/>
                <w:lang w:val="en-GB"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C8C509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KP_U05</w:t>
            </w:r>
          </w:p>
          <w:p w14:paraId="183B9E33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KP_U09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30B948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EPU3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6240E62E" w14:textId="309F043A" w:rsidR="00120CB1" w:rsidRPr="00763868" w:rsidRDefault="00380E33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Pr="00380E3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tudent potrafi samodzielnie określić kompetencje poszczególnych instytucji UE oraz sposób ich powoływania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BC6747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exam</w:t>
            </w:r>
          </w:p>
          <w:p w14:paraId="1CD31764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checking of presence</w:t>
            </w:r>
          </w:p>
          <w:p w14:paraId="69350FE6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solving cases</w:t>
            </w:r>
          </w:p>
          <w:p w14:paraId="33AFC9B7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discussion sessions</w:t>
            </w:r>
          </w:p>
          <w:p w14:paraId="79DA3F2E" w14:textId="77777777" w:rsidR="003478DC" w:rsidRPr="003478DC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analysis of a legal text</w:t>
            </w:r>
          </w:p>
          <w:p w14:paraId="6ECB698B" w14:textId="44B6AF69" w:rsidR="00120CB1" w:rsidRPr="00763868" w:rsidRDefault="003478DC" w:rsidP="003478D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presentations</w:t>
            </w:r>
          </w:p>
        </w:tc>
      </w:tr>
      <w:tr w:rsidR="00120CB1" w:rsidRPr="00763868" w14:paraId="49D5A41F" w14:textId="77777777" w:rsidTr="00380E33">
        <w:trPr>
          <w:trHeight w:val="321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D9CD457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Social competences</w:t>
            </w:r>
            <w:r w:rsidRPr="007638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8B00B3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KP_K02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A68680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0682D48A" w14:textId="1DA650F1" w:rsidR="00120CB1" w:rsidRPr="00380E33" w:rsidRDefault="00380E33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80E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student understands the need to constantly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complement his/her</w:t>
            </w:r>
            <w:r w:rsidRPr="00380E3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 knowledge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14F9BE" w14:textId="77777777" w:rsidR="003478DC" w:rsidRPr="003478DC" w:rsidRDefault="003478DC" w:rsidP="003478D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exam</w:t>
            </w:r>
          </w:p>
          <w:p w14:paraId="68BDCE87" w14:textId="77777777" w:rsidR="003478DC" w:rsidRPr="003478DC" w:rsidRDefault="003478DC" w:rsidP="003478D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checking of presence</w:t>
            </w:r>
          </w:p>
          <w:p w14:paraId="54A90F72" w14:textId="77777777" w:rsidR="003478DC" w:rsidRPr="003478DC" w:rsidRDefault="003478DC" w:rsidP="003478D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solving cases</w:t>
            </w:r>
          </w:p>
          <w:p w14:paraId="74C272A9" w14:textId="77777777" w:rsidR="003478DC" w:rsidRPr="003478DC" w:rsidRDefault="003478DC" w:rsidP="003478D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discussion sessions</w:t>
            </w:r>
          </w:p>
          <w:p w14:paraId="62B5ACF6" w14:textId="77777777" w:rsidR="003478DC" w:rsidRPr="003478DC" w:rsidRDefault="003478DC" w:rsidP="003478D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analysis of a legal text</w:t>
            </w:r>
          </w:p>
          <w:p w14:paraId="64206528" w14:textId="6EB94509" w:rsidR="00120CB1" w:rsidRPr="00763868" w:rsidRDefault="003478DC" w:rsidP="003478D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- presentations</w:t>
            </w:r>
          </w:p>
        </w:tc>
      </w:tr>
      <w:tr w:rsidR="00120CB1" w:rsidRPr="00917F89" w14:paraId="179599AB" w14:textId="77777777" w:rsidTr="00380E33">
        <w:trPr>
          <w:trHeight w:val="1028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4060504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FB366F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KP_K07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63FAD7" w14:textId="77777777" w:rsidR="00120CB1" w:rsidRPr="00763868" w:rsidRDefault="00120CB1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539B04FD" w14:textId="13C7C5C2" w:rsidR="00120CB1" w:rsidRPr="00120CB1" w:rsidRDefault="00120CB1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120CB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student develops the ability to work together in a team, through participation in classes, in which he discusses, presents his own position, but most importantly takes part in the team tasks carried out, such as a project or presentation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468E9C" w14:textId="77777777" w:rsidR="003478DC" w:rsidRPr="003478DC" w:rsidRDefault="003478DC" w:rsidP="003478D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exam</w:t>
            </w:r>
          </w:p>
          <w:p w14:paraId="2FD9F993" w14:textId="77777777" w:rsidR="003478DC" w:rsidRPr="003478DC" w:rsidRDefault="003478DC" w:rsidP="003478D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checking of presence</w:t>
            </w:r>
          </w:p>
          <w:p w14:paraId="6641A6D0" w14:textId="77777777" w:rsidR="003478DC" w:rsidRDefault="003478DC" w:rsidP="003478D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- discussion sessions</w:t>
            </w:r>
          </w:p>
          <w:p w14:paraId="2B4A8F8A" w14:textId="19115907" w:rsidR="003478DC" w:rsidRPr="003478DC" w:rsidRDefault="003478DC" w:rsidP="003478D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- </w:t>
            </w:r>
            <w:r w:rsidRPr="003478D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presentations</w:t>
            </w:r>
          </w:p>
          <w:p w14:paraId="7D1B338D" w14:textId="16136B17" w:rsidR="00120CB1" w:rsidRPr="00763868" w:rsidRDefault="00120CB1" w:rsidP="003478D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</w:p>
        </w:tc>
      </w:tr>
      <w:tr w:rsidR="00120CB1" w:rsidRPr="00763868" w14:paraId="7858C990" w14:textId="77777777" w:rsidTr="00BC3C36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34E8E5" w14:textId="77777777" w:rsidR="00120CB1" w:rsidRPr="00763868" w:rsidRDefault="00120CB1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Curriculum content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D786BD" w14:textId="5FE87B14" w:rsidR="00120CB1" w:rsidRPr="00763868" w:rsidRDefault="003478DC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S</w:t>
            </w:r>
            <w:r w:rsidR="00120CB1"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ubject-learning outcomes</w:t>
            </w:r>
            <w:r w:rsidR="00120CB1" w:rsidRPr="007638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 (EP)</w:t>
            </w:r>
          </w:p>
        </w:tc>
      </w:tr>
      <w:tr w:rsidR="00120CB1" w:rsidRPr="00763868" w14:paraId="183F2016" w14:textId="77777777" w:rsidTr="00BC3C36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398F67" w14:textId="77777777" w:rsidR="00120CB1" w:rsidRPr="00763868" w:rsidRDefault="00120CB1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Conv</w:t>
            </w:r>
            <w:r w:rsidRPr="00763868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ersatorium</w:t>
            </w:r>
          </w:p>
        </w:tc>
      </w:tr>
      <w:tr w:rsidR="00120CB1" w:rsidRPr="00763868" w14:paraId="228668D6" w14:textId="77777777" w:rsidTr="00380E33">
        <w:trPr>
          <w:trHeight w:val="216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8BEB247" w14:textId="6C34B29E" w:rsidR="00120CB1" w:rsidRPr="00F862F1" w:rsidRDefault="00380E33" w:rsidP="00F862F1">
            <w:pPr>
              <w:pStyle w:val="Akapitzlist"/>
              <w:numPr>
                <w:ilvl w:val="0"/>
                <w:numId w:val="4"/>
              </w:num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Legal aspects of European integration.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CA1B4E" w14:textId="77777777" w:rsidR="00120CB1" w:rsidRPr="00763868" w:rsidRDefault="00120CB1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EPW1, EPU1, EPK2</w:t>
            </w:r>
          </w:p>
        </w:tc>
      </w:tr>
      <w:tr w:rsidR="00380E33" w:rsidRPr="00380E33" w14:paraId="68E4893F" w14:textId="77777777" w:rsidTr="00380E33">
        <w:trPr>
          <w:trHeight w:val="348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72FA0C5" w14:textId="7FB5E578" w:rsidR="00380E33" w:rsidRPr="00F862F1" w:rsidRDefault="00380E33" w:rsidP="00F862F1">
            <w:pPr>
              <w:pStyle w:val="Akapitzlist"/>
              <w:numPr>
                <w:ilvl w:val="0"/>
                <w:numId w:val="4"/>
              </w:num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The concept of European law, Community law and EU law. Genesis of the EC and the EU. EU law versus public international law and domestic law.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37487C" w14:textId="259D5022" w:rsidR="00380E33" w:rsidRPr="00380E33" w:rsidRDefault="00380E33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EPW3, EPU2, EPU3, EPK2</w:t>
            </w:r>
          </w:p>
        </w:tc>
      </w:tr>
      <w:tr w:rsidR="00380E33" w:rsidRPr="00380E33" w14:paraId="7AAED05C" w14:textId="77777777" w:rsidTr="00F862F1">
        <w:trPr>
          <w:trHeight w:val="266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93CFD2C" w14:textId="1B10E076" w:rsidR="00380E33" w:rsidRPr="00F862F1" w:rsidRDefault="00380E33" w:rsidP="00F862F1">
            <w:pPr>
              <w:pStyle w:val="Akapitzlist"/>
              <w:numPr>
                <w:ilvl w:val="0"/>
                <w:numId w:val="4"/>
              </w:num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The legal nature and structure of the European Union.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C94027" w14:textId="46466EE3" w:rsidR="00380E33" w:rsidRPr="00380E33" w:rsidRDefault="00380E33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EPW3, EPU1, EPU3, EPK2</w:t>
            </w:r>
          </w:p>
        </w:tc>
      </w:tr>
      <w:tr w:rsidR="00380E33" w:rsidRPr="00F862F1" w14:paraId="63C024B6" w14:textId="77777777" w:rsidTr="00F862F1">
        <w:trPr>
          <w:trHeight w:val="357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AB9605" w14:textId="66BF0A28" w:rsidR="00380E33" w:rsidRPr="00F862F1" w:rsidRDefault="00380E33" w:rsidP="00F862F1">
            <w:pPr>
              <w:pStyle w:val="Akapitzlist"/>
              <w:numPr>
                <w:ilvl w:val="0"/>
                <w:numId w:val="4"/>
              </w:num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Sources and structure of European Union law (sources of primary European Union law and sources of derived European Union law).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A6EC33" w14:textId="03B98FD3" w:rsidR="00380E33" w:rsidRPr="00F862F1" w:rsidRDefault="00F862F1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EPW1, EPW2, EPU1, EPU2, EPK1, EPK2</w:t>
            </w:r>
          </w:p>
        </w:tc>
      </w:tr>
      <w:tr w:rsidR="00380E33" w:rsidRPr="00380E33" w14:paraId="217905B7" w14:textId="77777777" w:rsidTr="00F862F1">
        <w:trPr>
          <w:trHeight w:val="609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2162ACE" w14:textId="1AA7051B" w:rsidR="00380E33" w:rsidRPr="00F862F1" w:rsidRDefault="00380E33" w:rsidP="00F862F1">
            <w:pPr>
              <w:pStyle w:val="Akapitzlist"/>
              <w:numPr>
                <w:ilvl w:val="0"/>
                <w:numId w:val="4"/>
              </w:num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The relationship of EU law to the legal orders of member states. Membership in the European Union. EU accessions and suspension of EU membership (criteria and stages of procedures).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75137A" w14:textId="195F35D0" w:rsidR="00380E33" w:rsidRPr="00380E33" w:rsidRDefault="00380E33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380E3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EPW2, EPU1, EPU2, EPK1, EPK2</w:t>
            </w:r>
          </w:p>
        </w:tc>
      </w:tr>
      <w:tr w:rsidR="00F862F1" w:rsidRPr="00763868" w14:paraId="45DC9BDB" w14:textId="77777777" w:rsidTr="009876E6">
        <w:trPr>
          <w:trHeight w:val="168"/>
          <w:jc w:val="center"/>
        </w:trPr>
        <w:tc>
          <w:tcPr>
            <w:tcW w:w="8916" w:type="dxa"/>
            <w:gridSpan w:val="1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970A9FE" w14:textId="27ABBB58" w:rsidR="00F862F1" w:rsidRPr="00F862F1" w:rsidRDefault="00F862F1" w:rsidP="00F862F1">
            <w:pPr>
              <w:pStyle w:val="Akapitzlist"/>
              <w:numPr>
                <w:ilvl w:val="0"/>
                <w:numId w:val="4"/>
              </w:num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Legal protection in the EU. Judicial and non-judicial form of control of compliance with Community law.</w:t>
            </w:r>
          </w:p>
        </w:tc>
        <w:tc>
          <w:tcPr>
            <w:tcW w:w="2268" w:type="dxa"/>
            <w:gridSpan w:val="3"/>
          </w:tcPr>
          <w:p w14:paraId="12363D5C" w14:textId="2C64797E" w:rsidR="00F862F1" w:rsidRPr="00F862F1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EPW1, EPW2, EPU1, EPU2, EPK1, EPK2</w:t>
            </w:r>
          </w:p>
        </w:tc>
      </w:tr>
      <w:tr w:rsidR="00F862F1" w:rsidRPr="00F862F1" w14:paraId="209665D6" w14:textId="77777777" w:rsidTr="009876E6">
        <w:trPr>
          <w:trHeight w:val="324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6BAB248" w14:textId="239FFA88" w:rsidR="00F862F1" w:rsidRPr="00F862F1" w:rsidRDefault="00F862F1" w:rsidP="00F862F1">
            <w:pPr>
              <w:pStyle w:val="Akapitzlist"/>
              <w:numPr>
                <w:ilvl w:val="0"/>
                <w:numId w:val="4"/>
              </w:num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Basic institutions of the EU: the European Council, the Council of the EU, the Commission, the Parliament, advisory bodies.</w:t>
            </w:r>
          </w:p>
        </w:tc>
        <w:tc>
          <w:tcPr>
            <w:tcW w:w="2268" w:type="dxa"/>
            <w:gridSpan w:val="3"/>
          </w:tcPr>
          <w:p w14:paraId="03564B60" w14:textId="25958FA5" w:rsidR="00F862F1" w:rsidRPr="00F862F1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EPW1, EPW2, EPU1, EPU2, EPK1, EPK2</w:t>
            </w:r>
          </w:p>
        </w:tc>
      </w:tr>
      <w:tr w:rsidR="00F862F1" w:rsidRPr="00F862F1" w14:paraId="5DA4E8A5" w14:textId="77777777" w:rsidTr="009876E6">
        <w:trPr>
          <w:trHeight w:val="240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4F5853" w14:textId="283EC3AE" w:rsidR="00F862F1" w:rsidRPr="00F862F1" w:rsidRDefault="00F862F1" w:rsidP="00F862F1">
            <w:pPr>
              <w:pStyle w:val="Akapitzlist"/>
              <w:numPr>
                <w:ilvl w:val="0"/>
                <w:numId w:val="4"/>
              </w:num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Sources of secondary EU law. Sources of law in the CFSP, the AFSJ.</w:t>
            </w:r>
          </w:p>
        </w:tc>
        <w:tc>
          <w:tcPr>
            <w:tcW w:w="2268" w:type="dxa"/>
            <w:gridSpan w:val="3"/>
          </w:tcPr>
          <w:p w14:paraId="6EFC3C5F" w14:textId="75B4819C" w:rsidR="00F862F1" w:rsidRPr="00F862F1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EPW1, EPW2, EPU1, EPU2, EPK1, EPK2</w:t>
            </w:r>
          </w:p>
        </w:tc>
      </w:tr>
      <w:tr w:rsidR="00F862F1" w:rsidRPr="00763868" w14:paraId="7E34A2C2" w14:textId="77777777" w:rsidTr="009876E6">
        <w:trPr>
          <w:trHeight w:val="252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420ED5" w14:textId="4F34A912" w:rsidR="00F862F1" w:rsidRPr="00F862F1" w:rsidRDefault="00F862F1" w:rsidP="00F862F1">
            <w:pPr>
              <w:pStyle w:val="Akapitzlist"/>
              <w:numPr>
                <w:ilvl w:val="0"/>
                <w:numId w:val="4"/>
              </w:num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Legal aspects of EU external relations. Conclusion of international agreements of the EU.</w:t>
            </w:r>
          </w:p>
        </w:tc>
        <w:tc>
          <w:tcPr>
            <w:tcW w:w="2268" w:type="dxa"/>
            <w:gridSpan w:val="3"/>
          </w:tcPr>
          <w:p w14:paraId="643FC9FC" w14:textId="28DD2141" w:rsidR="00F862F1" w:rsidRPr="00F862F1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EPW1, EPW2, EPU1, EPU2, EPK1, EPK2</w:t>
            </w:r>
          </w:p>
        </w:tc>
      </w:tr>
      <w:tr w:rsidR="00F862F1" w:rsidRPr="00F862F1" w14:paraId="647419EF" w14:textId="77777777" w:rsidTr="009876E6">
        <w:trPr>
          <w:trHeight w:val="195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C779A37" w14:textId="0C8CEA1E" w:rsidR="00F862F1" w:rsidRPr="00F862F1" w:rsidRDefault="00F862F1" w:rsidP="00F862F1">
            <w:pPr>
              <w:pStyle w:val="Akapitzlist"/>
              <w:numPr>
                <w:ilvl w:val="0"/>
                <w:numId w:val="4"/>
              </w:num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The Schengen Agreement and its consequences for the integration process.</w:t>
            </w:r>
          </w:p>
        </w:tc>
        <w:tc>
          <w:tcPr>
            <w:tcW w:w="2268" w:type="dxa"/>
            <w:gridSpan w:val="3"/>
          </w:tcPr>
          <w:p w14:paraId="7364288A" w14:textId="46517D86" w:rsidR="00F862F1" w:rsidRPr="00F862F1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EPW1, EPW2, EPU1, EPU2, EPK1, EPK2</w:t>
            </w:r>
          </w:p>
        </w:tc>
      </w:tr>
      <w:tr w:rsidR="00F862F1" w:rsidRPr="00F862F1" w14:paraId="0F3FB8A8" w14:textId="77777777" w:rsidTr="009876E6">
        <w:trPr>
          <w:trHeight w:val="192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419379D" w14:textId="725C6887" w:rsidR="00F862F1" w:rsidRPr="00F862F1" w:rsidRDefault="00F862F1" w:rsidP="00F862F1">
            <w:pPr>
              <w:pStyle w:val="Akapitzlist"/>
              <w:numPr>
                <w:ilvl w:val="0"/>
                <w:numId w:val="4"/>
              </w:num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EU liability for damages (contractual, non-contractual).</w:t>
            </w:r>
          </w:p>
        </w:tc>
        <w:tc>
          <w:tcPr>
            <w:tcW w:w="2268" w:type="dxa"/>
            <w:gridSpan w:val="3"/>
          </w:tcPr>
          <w:p w14:paraId="6677713A" w14:textId="3F495F63" w:rsidR="00F862F1" w:rsidRPr="00F862F1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EPW1, EPW2, EPU1, EPU2, EPK1, EPK2</w:t>
            </w:r>
          </w:p>
        </w:tc>
      </w:tr>
      <w:tr w:rsidR="00F862F1" w:rsidRPr="00F862F1" w14:paraId="6EAE92D2" w14:textId="77777777" w:rsidTr="009876E6">
        <w:trPr>
          <w:trHeight w:val="216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F54E532" w14:textId="0235DA45" w:rsidR="00F862F1" w:rsidRPr="00F862F1" w:rsidRDefault="00F862F1" w:rsidP="00F862F1">
            <w:pPr>
              <w:pStyle w:val="Akapitzlist"/>
              <w:numPr>
                <w:ilvl w:val="0"/>
                <w:numId w:val="4"/>
              </w:num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E451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Principles of the common (internal) market.</w:t>
            </w:r>
          </w:p>
        </w:tc>
        <w:tc>
          <w:tcPr>
            <w:tcW w:w="2268" w:type="dxa"/>
            <w:gridSpan w:val="3"/>
          </w:tcPr>
          <w:p w14:paraId="26E9B417" w14:textId="7CDD2D68" w:rsidR="00F862F1" w:rsidRPr="00F862F1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EPW1, EPW2, EPU1, EPU2, EPK1, EPK2</w:t>
            </w:r>
          </w:p>
        </w:tc>
      </w:tr>
      <w:tr w:rsidR="00F862F1" w:rsidRPr="00F862F1" w14:paraId="61B8D4E7" w14:textId="77777777" w:rsidTr="009876E6">
        <w:trPr>
          <w:trHeight w:val="180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29B3A1" w14:textId="7F8DC0DF" w:rsidR="00F862F1" w:rsidRPr="00F862F1" w:rsidRDefault="00F862F1" w:rsidP="00F862F1">
            <w:pPr>
              <w:pStyle w:val="Akapitzlist"/>
              <w:numPr>
                <w:ilvl w:val="0"/>
                <w:numId w:val="4"/>
              </w:num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Economic and monetary union.</w:t>
            </w:r>
          </w:p>
        </w:tc>
        <w:tc>
          <w:tcPr>
            <w:tcW w:w="2268" w:type="dxa"/>
            <w:gridSpan w:val="3"/>
          </w:tcPr>
          <w:p w14:paraId="7FDD23F1" w14:textId="4C23E3D2" w:rsidR="00F862F1" w:rsidRPr="00F862F1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EPW1, EPW2, EPU1, EPU2, EPK1, EPK2</w:t>
            </w:r>
          </w:p>
        </w:tc>
      </w:tr>
      <w:tr w:rsidR="00F862F1" w:rsidRPr="00F862F1" w14:paraId="2A6C3CB0" w14:textId="77777777" w:rsidTr="00F862F1">
        <w:trPr>
          <w:trHeight w:val="327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2D1674" w14:textId="7FAF880A" w:rsidR="00F862F1" w:rsidRPr="00F862F1" w:rsidRDefault="00F862F1" w:rsidP="00F862F1">
            <w:pPr>
              <w:pStyle w:val="Akapitzlist"/>
              <w:numPr>
                <w:ilvl w:val="0"/>
                <w:numId w:val="4"/>
              </w:num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Financing of the EU.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C32B99" w14:textId="432BC9E8" w:rsidR="00F862F1" w:rsidRPr="00F862F1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EPW1, EPW2, EPU1, EPU2, EPK1, EPK2</w:t>
            </w:r>
          </w:p>
        </w:tc>
      </w:tr>
      <w:tr w:rsidR="00F862F1" w:rsidRPr="00E451F9" w14:paraId="7CF9D2ED" w14:textId="77777777" w:rsidTr="00BC3C36">
        <w:trPr>
          <w:trHeight w:val="277"/>
          <w:jc w:val="center"/>
        </w:trPr>
        <w:tc>
          <w:tcPr>
            <w:tcW w:w="11184" w:type="dxa"/>
            <w:gridSpan w:val="17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7582E6D" w14:textId="77777777" w:rsidR="00F862F1" w:rsidRPr="00763868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Forms and conditions of completing the course</w:t>
            </w:r>
          </w:p>
        </w:tc>
      </w:tr>
      <w:tr w:rsidR="00F862F1" w:rsidRPr="00E451F9" w14:paraId="1FFB1FBF" w14:textId="77777777" w:rsidTr="00BC3C36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4896873" w14:textId="77777777" w:rsidR="003478DC" w:rsidRDefault="003478DC" w:rsidP="00F862F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</w:p>
          <w:p w14:paraId="389E496B" w14:textId="3C925310" w:rsidR="00F862F1" w:rsidRPr="00F862F1" w:rsidRDefault="00F862F1" w:rsidP="00F862F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One speech independently prepared and presented in class (presentations, papers) evaluation - on the basis of understanding of the topic, substantive content - on the basis of correct use of terminology, reference to contexts, use of bibliography, critical use of sources, correct citation and use of footnotes. </w:t>
            </w:r>
          </w:p>
          <w:p w14:paraId="22BF4D09" w14:textId="5B98BFB6" w:rsidR="00F862F1" w:rsidRPr="00763868" w:rsidRDefault="00F862F1" w:rsidP="00F862F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Oral exam on the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discussed </w:t>
            </w:r>
            <w:r w:rsidRPr="00F862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topics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.</w:t>
            </w:r>
          </w:p>
        </w:tc>
      </w:tr>
      <w:tr w:rsidR="00F862F1" w:rsidRPr="00763868" w14:paraId="431C9AE6" w14:textId="77777777" w:rsidTr="00BC3C36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FFDB52E" w14:textId="77777777" w:rsidR="00F862F1" w:rsidRPr="00763868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Assessment</w:t>
            </w:r>
          </w:p>
        </w:tc>
      </w:tr>
      <w:tr w:rsidR="00F862F1" w:rsidRPr="00763868" w14:paraId="560E9862" w14:textId="77777777" w:rsidTr="00BC3C36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B6F46B1" w14:textId="77777777" w:rsidR="00F862F1" w:rsidRPr="00763868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 /insufficient/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6F7C5AC" w14:textId="77777777" w:rsidR="00F862F1" w:rsidRPr="00763868" w:rsidRDefault="00F862F1" w:rsidP="00F862F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 /</w:t>
            </w:r>
            <w:r w:rsidRPr="0023392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sufficient</w:t>
            </w: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A673B5D" w14:textId="77777777" w:rsidR="00F862F1" w:rsidRPr="00763868" w:rsidRDefault="00F862F1" w:rsidP="00F862F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3</w:t>
            </w:r>
            <w:r w:rsidRPr="0023392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.</w:t>
            </w: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5 /</w:t>
            </w:r>
            <w:r w:rsidRPr="0023392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suffiicent</w:t>
            </w: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55D3D7F" w14:textId="77777777" w:rsidR="00F862F1" w:rsidRPr="00763868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4</w:t>
            </w:r>
            <w:r w:rsidRPr="0023392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/</w:t>
            </w:r>
            <w:r w:rsidRPr="0023392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good</w:t>
            </w: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50CFB65" w14:textId="77777777" w:rsidR="00F862F1" w:rsidRPr="00763868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4,5 /</w:t>
            </w:r>
            <w:r w:rsidRPr="0023392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dobry</w:t>
            </w: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+/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E150563" w14:textId="77777777" w:rsidR="00F862F1" w:rsidRPr="00763868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5</w:t>
            </w:r>
          </w:p>
          <w:p w14:paraId="077CB3E9" w14:textId="77777777" w:rsidR="00F862F1" w:rsidRPr="00763868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/</w:t>
            </w:r>
            <w:r w:rsidRPr="0023392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very good</w:t>
            </w: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/</w:t>
            </w:r>
          </w:p>
        </w:tc>
      </w:tr>
      <w:tr w:rsidR="00F862F1" w:rsidRPr="00E451F9" w14:paraId="4DA171A8" w14:textId="77777777" w:rsidTr="00BC3C36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8F8BDEC" w14:textId="77777777" w:rsidR="00F862F1" w:rsidRPr="00917F89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917F8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lastRenderedPageBreak/>
              <w:t xml:space="preserve">&gt;60% </w:t>
            </w:r>
          </w:p>
          <w:p w14:paraId="499AC3CD" w14:textId="77777777" w:rsidR="00F862F1" w:rsidRPr="00763868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of the score obtained for the prescribed forms of verification of learning outcomes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1566ABC" w14:textId="77777777" w:rsidR="00F862F1" w:rsidRPr="00763868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val="en-GB" w:eastAsia="zh-CN"/>
                <w14:ligatures w14:val="none"/>
              </w:rPr>
              <w:t xml:space="preserve">from </w:t>
            </w:r>
            <w:r w:rsidRPr="00763868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val="en-GB" w:eastAsia="zh-CN"/>
                <w14:ligatures w14:val="none"/>
              </w:rPr>
              <w:t xml:space="preserve">60% </w:t>
            </w: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val="en-GB" w:eastAsia="zh-CN"/>
                <w14:ligatures w14:val="none"/>
              </w:rPr>
              <w:t xml:space="preserve"> to  </w:t>
            </w:r>
            <w:r w:rsidRPr="00763868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  <w:lang w:val="en-GB" w:eastAsia="zh-CN"/>
                <w14:ligatures w14:val="none"/>
              </w:rPr>
              <w:t xml:space="preserve"> &gt;70%</w:t>
            </w:r>
          </w:p>
          <w:p w14:paraId="7B499146" w14:textId="77777777" w:rsidR="00F862F1" w:rsidRPr="00763868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of the score obtained for the prescribed forms of verification of learning outcomes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057289C" w14:textId="77777777" w:rsidR="00F862F1" w:rsidRPr="00763868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70% </w:t>
            </w:r>
            <w:r w:rsidRPr="0023392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to</w:t>
            </w: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 &gt;75%</w:t>
            </w:r>
          </w:p>
          <w:p w14:paraId="3ABDBE04" w14:textId="77777777" w:rsidR="00F862F1" w:rsidRPr="00763868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of the score obtained for the prescribed forms          of verification                of learning outcomes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C2F7506" w14:textId="77777777" w:rsidR="00F862F1" w:rsidRPr="00763868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75% </w:t>
            </w:r>
            <w:r w:rsidRPr="0023392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to</w:t>
            </w: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 &gt;85% </w:t>
            </w:r>
          </w:p>
          <w:p w14:paraId="63A92B4A" w14:textId="77777777" w:rsidR="00F862F1" w:rsidRPr="00763868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of the score obtained for the prescribed forms          of verification                of learning outcomes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BEE93FE" w14:textId="77777777" w:rsidR="00F862F1" w:rsidRPr="00763868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85% do &gt;90% </w:t>
            </w:r>
          </w:p>
          <w:p w14:paraId="3AB05682" w14:textId="77777777" w:rsidR="00F862F1" w:rsidRPr="00763868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of the score obtained for the prescribed forms          of verification                of learning outcomes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9F38DF9" w14:textId="77777777" w:rsidR="00F862F1" w:rsidRPr="00763868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90% </w:t>
            </w:r>
            <w:r w:rsidRPr="0023392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to</w:t>
            </w:r>
            <w:r w:rsidRPr="007638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 xml:space="preserve"> &gt;100% </w:t>
            </w:r>
          </w:p>
          <w:p w14:paraId="2F9A4DA5" w14:textId="77777777" w:rsidR="00F862F1" w:rsidRPr="00763868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of the score obtained for the prescribed forms                                      of verification                of learning outcomes</w:t>
            </w:r>
          </w:p>
        </w:tc>
      </w:tr>
      <w:tr w:rsidR="00F862F1" w:rsidRPr="00E451F9" w14:paraId="24F5EA66" w14:textId="77777777" w:rsidTr="00BC3C36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921525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>Student has not mastered the basic knowledge and skills related to the subject</w:t>
            </w:r>
          </w:p>
          <w:p w14:paraId="1042017D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>is not able to use the acquired basic information and demonstrate knowledge and skills; the required learning outcomes have not been achieved,</w:t>
            </w:r>
          </w:p>
          <w:p w14:paraId="4F3FD21B" w14:textId="77777777" w:rsidR="00F862F1" w:rsidRPr="00763868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>does not show commitment and interest in the subject.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5E6C2A67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 xml:space="preserve">has incomplete basic knowledge and skills related to </w:t>
            </w:r>
          </w:p>
          <w:p w14:paraId="76A38E07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>related to the subject,</w:t>
            </w:r>
          </w:p>
          <w:p w14:paraId="7B8C8FDC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>Has great difficulty in using the acquired information,</w:t>
            </w:r>
          </w:p>
          <w:p w14:paraId="5A77EBB9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 xml:space="preserve">has mastered the learning outcomes </w:t>
            </w:r>
          </w:p>
          <w:p w14:paraId="459AFB56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>to a sufficient degree,</w:t>
            </w:r>
          </w:p>
          <w:p w14:paraId="65A8F7FE" w14:textId="77777777" w:rsidR="00F862F1" w:rsidRPr="00763868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>presents little interest in professional issues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E3EBEBE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 xml:space="preserve">Student </w:t>
            </w:r>
          </w:p>
          <w:p w14:paraId="68282EFA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 xml:space="preserve">has the basic knowledge and skills to </w:t>
            </w:r>
          </w:p>
          <w:p w14:paraId="689F103F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 xml:space="preserve">to understand most of the issues in the subject, </w:t>
            </w:r>
          </w:p>
          <w:p w14:paraId="393F4283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 xml:space="preserve">has difficulties </w:t>
            </w:r>
          </w:p>
          <w:p w14:paraId="4AE77E92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>with the use of acquired information;</w:t>
            </w:r>
          </w:p>
          <w:p w14:paraId="2DEF7EDB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 xml:space="preserve">has mastered the learning outcomes </w:t>
            </w:r>
          </w:p>
          <w:p w14:paraId="57E26CE7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>to a satisfactory degree,</w:t>
            </w:r>
          </w:p>
          <w:p w14:paraId="2478AF7D" w14:textId="77777777" w:rsidR="00F862F1" w:rsidRPr="00763868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>shows a desire for professional improvement.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4F11285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 xml:space="preserve">Student </w:t>
            </w:r>
          </w:p>
          <w:p w14:paraId="6F60566C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 xml:space="preserve">possesses the knowledge  and skills To the extent that allows </w:t>
            </w:r>
          </w:p>
          <w:p w14:paraId="5DE072D4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>to understand the issues covered by the program of study,</w:t>
            </w:r>
          </w:p>
          <w:p w14:paraId="06A22A20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 xml:space="preserve">correctly but in an unstructured manner presents the acquired knowledge and skills and skills, perceives errors made when solving a specific task; has mastered the learning outcomes </w:t>
            </w:r>
          </w:p>
          <w:p w14:paraId="1636D1D0" w14:textId="77777777" w:rsidR="00F862F1" w:rsidRPr="00763868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>to a good degree, manifests a desire for continuous professional development.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01BD747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 xml:space="preserve">Student has the knowledge </w:t>
            </w:r>
          </w:p>
          <w:p w14:paraId="571E99E8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 xml:space="preserve">and skills to the extent that allows </w:t>
            </w:r>
          </w:p>
          <w:p w14:paraId="4C032E53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>to understand the issues covered by the program of study,</w:t>
            </w:r>
          </w:p>
          <w:p w14:paraId="31150636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 xml:space="preserve">presents the correct body of knowledge, recognizes </w:t>
            </w:r>
          </w:p>
          <w:p w14:paraId="0E9C1A37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 xml:space="preserve">and corrects errors made when solving a specific task; learning outcomes mastered </w:t>
            </w:r>
          </w:p>
          <w:p w14:paraId="15A6663B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>at a level above good,</w:t>
            </w:r>
          </w:p>
          <w:p w14:paraId="2BACAC64" w14:textId="77777777" w:rsidR="00F862F1" w:rsidRPr="00763868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>is responsible, conscientious, feels the need for continuous professional development.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5E52B2" w14:textId="77777777" w:rsidR="00F862F1" w:rsidRPr="00763868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763868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 xml:space="preserve">Student </w:t>
            </w:r>
          </w:p>
          <w:p w14:paraId="2F972C64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 xml:space="preserve">has full knowledge </w:t>
            </w:r>
          </w:p>
          <w:p w14:paraId="558EB4DF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>and skills provided for in the program of study in terms of complementary content,</w:t>
            </w:r>
          </w:p>
          <w:p w14:paraId="5EBD9FDC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>independently solves problems and formulates conclusions, is able to correctly argue and prove his points;</w:t>
            </w:r>
          </w:p>
          <w:p w14:paraId="2BAA9463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>has mastered the learning outcomes                  at a very good level,</w:t>
            </w:r>
          </w:p>
          <w:p w14:paraId="4A0B6F28" w14:textId="77777777" w:rsidR="00F862F1" w:rsidRPr="0023392F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 xml:space="preserve">is committed </w:t>
            </w:r>
          </w:p>
          <w:p w14:paraId="33B43F87" w14:textId="77777777" w:rsidR="00F862F1" w:rsidRPr="00763868" w:rsidRDefault="00F862F1" w:rsidP="00F862F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</w:pPr>
            <w:r w:rsidRPr="0023392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val="en-GB" w:eastAsia="zh-CN"/>
                <w14:ligatures w14:val="none"/>
              </w:rPr>
              <w:t>in the implementation of assigned tasks, responsible, conscientious, feels the need for continuous professional development.</w:t>
            </w:r>
          </w:p>
        </w:tc>
      </w:tr>
      <w:tr w:rsidR="00F862F1" w:rsidRPr="000D6937" w14:paraId="45119300" w14:textId="77777777" w:rsidTr="00BC3C36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2E020E" w14:textId="71F9B7D1" w:rsidR="00F862F1" w:rsidRPr="000D6937" w:rsidRDefault="000D6937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</w:pPr>
            <w:r w:rsidRPr="000D6937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val="en-GB" w:eastAsia="zh-CN"/>
                <w14:ligatures w14:val="none"/>
              </w:rPr>
              <w:t>The course reading list (mandatory)</w:t>
            </w:r>
          </w:p>
        </w:tc>
      </w:tr>
      <w:tr w:rsidR="00F862F1" w:rsidRPr="00E451F9" w14:paraId="2CD15E13" w14:textId="77777777" w:rsidTr="00BC3C36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413E84" w14:textId="77777777" w:rsidR="00F862F1" w:rsidRPr="002439BC" w:rsidRDefault="00F862F1" w:rsidP="00F862F1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highlight w:val="yellow"/>
                <w:lang w:val="en-GB" w:eastAsia="zh-CN"/>
                <w14:ligatures w14:val="none"/>
              </w:rPr>
            </w:pPr>
            <w:r w:rsidRPr="002439B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highlight w:val="yellow"/>
                <w:lang w:val="en-GB" w:eastAsia="zh-CN"/>
                <w14:ligatures w14:val="none"/>
              </w:rPr>
              <w:t>D. Chalmers, G. Davies, G. Monti, European Union Law. Text and Materials, Cambridge 2019</w:t>
            </w:r>
          </w:p>
          <w:p w14:paraId="38082DCA" w14:textId="77777777" w:rsidR="00F862F1" w:rsidRPr="002439BC" w:rsidRDefault="00F862F1" w:rsidP="00F862F1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highlight w:val="yellow"/>
                <w:lang w:val="en-GB" w:eastAsia="zh-CN"/>
                <w14:ligatures w14:val="none"/>
              </w:rPr>
            </w:pPr>
            <w:r w:rsidRPr="002439B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highlight w:val="yellow"/>
                <w:lang w:val="en-GB" w:eastAsia="zh-CN"/>
                <w14:ligatures w14:val="none"/>
              </w:rPr>
              <w:t>Jaskiernia J., Institutions and Sources of Law of the European Union,  Wyd.:  Adam Marszałek , 2023</w:t>
            </w:r>
          </w:p>
        </w:tc>
      </w:tr>
      <w:tr w:rsidR="00F862F1" w:rsidRPr="00763868" w14:paraId="2596AACA" w14:textId="77777777" w:rsidTr="00BC3C36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12C183" w14:textId="0EBB8EE5" w:rsidR="00F862F1" w:rsidRPr="002439BC" w:rsidRDefault="00F862F1" w:rsidP="00F862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2"/>
                <w:szCs w:val="22"/>
                <w:highlight w:val="yellow"/>
                <w:lang w:eastAsia="zh-CN"/>
                <w14:ligatures w14:val="none"/>
              </w:rPr>
            </w:pPr>
            <w:r w:rsidRPr="002439B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yellow"/>
                <w:lang w:val="en-US" w:eastAsia="pl-PL"/>
              </w:rPr>
              <w:t xml:space="preserve"> recommended/optional</w:t>
            </w:r>
            <w:r w:rsidR="000D69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yellow"/>
                <w:lang w:val="en-US" w:eastAsia="pl-PL"/>
              </w:rPr>
              <w:t xml:space="preserve"> reading</w:t>
            </w:r>
          </w:p>
        </w:tc>
      </w:tr>
      <w:tr w:rsidR="00F862F1" w:rsidRPr="00E451F9" w14:paraId="2BE6E76E" w14:textId="77777777" w:rsidTr="00BC3C36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022C5F3" w14:textId="77777777" w:rsidR="00F862F1" w:rsidRPr="002439BC" w:rsidRDefault="00F862F1" w:rsidP="00F862F1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highlight w:val="yellow"/>
                <w:lang w:val="en-GB" w:eastAsia="zh-CN"/>
                <w14:ligatures w14:val="none"/>
              </w:rPr>
            </w:pPr>
            <w:r w:rsidRPr="002439B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highlight w:val="yellow"/>
                <w:lang w:val="en-GB" w:eastAsia="zh-CN"/>
                <w14:ligatures w14:val="none"/>
              </w:rPr>
              <w:t>J. Peterson, J. M. Shackleton (eds.), The Institutions of the European Union, third edition, Oxford, Oxford University Press, 2012</w:t>
            </w:r>
          </w:p>
          <w:p w14:paraId="7110C873" w14:textId="77777777" w:rsidR="00F862F1" w:rsidRPr="002439BC" w:rsidRDefault="00F862F1" w:rsidP="00F862F1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highlight w:val="yellow"/>
                <w:lang w:val="en-GB" w:eastAsia="zh-CN"/>
                <w14:ligatures w14:val="none"/>
              </w:rPr>
            </w:pPr>
            <w:r w:rsidRPr="002439B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highlight w:val="yellow"/>
                <w:lang w:val="en-GB" w:eastAsia="zh-CN"/>
                <w14:ligatures w14:val="none"/>
              </w:rPr>
              <w:t>Nugent, N., The Government and Politics of the European Union, 7th edition, Houndmills, Palgrave Macmillan, 2010</w:t>
            </w:r>
          </w:p>
        </w:tc>
      </w:tr>
      <w:tr w:rsidR="00F862F1" w:rsidRPr="00763868" w14:paraId="45A99AB8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4491FFB" w14:textId="77777777" w:rsidR="00F862F1" w:rsidRPr="00763868" w:rsidRDefault="00F862F1" w:rsidP="00F86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23392F">
              <w:rPr>
                <w:rFonts w:ascii="Times New Roman" w:eastAsia="Calibri" w:hAnsi="Times New Roman" w:cs="Times New Roman"/>
                <w:b/>
                <w:color w:val="000000" w:themeColor="text1"/>
                <w:kern w:val="0"/>
                <w:sz w:val="22"/>
                <w:szCs w:val="22"/>
                <w14:ligatures w14:val="none"/>
              </w:rPr>
              <w:t>Workload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45CC2CB" w14:textId="77777777" w:rsidR="00F862F1" w:rsidRPr="00763868" w:rsidRDefault="00F862F1" w:rsidP="00F86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kern w:val="0"/>
                <w:sz w:val="22"/>
                <w:szCs w:val="22"/>
                <w14:ligatures w14:val="none"/>
              </w:rPr>
            </w:pPr>
            <w:r w:rsidRPr="0023392F">
              <w:rPr>
                <w:rFonts w:ascii="Times New Roman" w:eastAsia="Calibri" w:hAnsi="Times New Roman" w:cs="Times New Roman"/>
                <w:b/>
                <w:color w:val="000000" w:themeColor="text1"/>
                <w:kern w:val="0"/>
                <w:sz w:val="22"/>
                <w:szCs w:val="22"/>
                <w14:ligatures w14:val="none"/>
              </w:rPr>
              <w:t>Number of hours</w:t>
            </w:r>
          </w:p>
        </w:tc>
      </w:tr>
      <w:tr w:rsidR="00F862F1" w:rsidRPr="00763868" w14:paraId="751D9749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A16ECC" w14:textId="77777777" w:rsidR="00F862F1" w:rsidRPr="00763868" w:rsidRDefault="00F862F1" w:rsidP="00F86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23392F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Contact hours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6A1D51E6" w14:textId="6512AF89" w:rsidR="00F862F1" w:rsidRPr="00763868" w:rsidRDefault="00F862F1" w:rsidP="00F86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val="en-GB"/>
                <w14:ligatures w14:val="none"/>
              </w:rPr>
            </w:pPr>
            <w:r w:rsidRPr="0023392F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val="en-GB"/>
                <w14:ligatures w14:val="none"/>
              </w:rPr>
              <w:t>Conversatorium</w:t>
            </w:r>
            <w:r w:rsidRPr="00763868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val="en-GB"/>
                <w14:ligatures w14:val="none"/>
              </w:rPr>
              <w:t>:</w:t>
            </w:r>
            <w:r w:rsidR="000D6937">
              <w:t xml:space="preserve"> </w:t>
            </w:r>
            <w:r w:rsidR="000D6937" w:rsidRPr="000D6937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val="en-GB"/>
                <w14:ligatures w14:val="none"/>
              </w:rPr>
              <w:t>20</w:t>
            </w:r>
          </w:p>
        </w:tc>
        <w:tc>
          <w:tcPr>
            <w:tcW w:w="326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22D763C" w14:textId="433DF9D9" w:rsidR="00F862F1" w:rsidRPr="00763868" w:rsidRDefault="00F862F1" w:rsidP="00F86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862F1" w:rsidRPr="00763868" w14:paraId="774A1D88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41D444" w14:textId="64E41716" w:rsidR="00F862F1" w:rsidRPr="00763868" w:rsidRDefault="00F862F1" w:rsidP="003478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val="en-GB"/>
                <w14:ligatures w14:val="none"/>
              </w:rPr>
            </w:pPr>
            <w:r w:rsidRPr="0023392F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val="en-GB"/>
                <w14:ligatures w14:val="none"/>
              </w:rPr>
              <w:t xml:space="preserve">Student's own work (preparation for classes, tests of knowledge </w:t>
            </w:r>
            <w:r w:rsidR="003478DC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val="en-GB"/>
                <w14:ligatures w14:val="none"/>
              </w:rPr>
              <w:t xml:space="preserve">              </w:t>
            </w:r>
            <w:r w:rsidRPr="0023392F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val="en-GB"/>
                <w14:ligatures w14:val="none"/>
              </w:rPr>
              <w:t>and skills)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78FB35" w14:textId="6D07817D" w:rsidR="00F862F1" w:rsidRPr="00763868" w:rsidRDefault="002439BC" w:rsidP="00F86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5</w:t>
            </w:r>
            <w:r w:rsidR="00F862F1" w:rsidRPr="00763868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F862F1" w:rsidRPr="00763868" w14:paraId="4FCCEDEC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5BDF37" w14:textId="77777777" w:rsidR="00F862F1" w:rsidRPr="00763868" w:rsidRDefault="00F862F1" w:rsidP="00F862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763868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8F4813" w14:textId="0D698969" w:rsidR="00F862F1" w:rsidRPr="00763868" w:rsidRDefault="002439BC" w:rsidP="00F86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</w:tbl>
    <w:p w14:paraId="03D05BAB" w14:textId="77777777" w:rsidR="00120CB1" w:rsidRPr="00763868" w:rsidRDefault="00120CB1" w:rsidP="00120CB1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color w:val="000000" w:themeColor="text1"/>
          <w:kern w:val="0"/>
          <w:sz w:val="16"/>
          <w:szCs w:val="16"/>
          <w:lang w:val="en-GB" w:eastAsia="zh-CN"/>
          <w14:ligatures w14:val="none"/>
        </w:rPr>
      </w:pPr>
      <w:r w:rsidRPr="00763868">
        <w:rPr>
          <w:rFonts w:ascii="Times New Roman" w:eastAsia="SimSun" w:hAnsi="Times New Roman" w:cs="Times New Roman"/>
          <w:color w:val="000000" w:themeColor="text1"/>
          <w:kern w:val="0"/>
          <w:sz w:val="16"/>
          <w:szCs w:val="16"/>
          <w:lang w:val="en-GB" w:eastAsia="zh-CN"/>
          <w14:ligatures w14:val="none"/>
        </w:rPr>
        <w:t>*</w:t>
      </w:r>
      <w:r w:rsidRPr="0023392F">
        <w:rPr>
          <w:color w:val="000000" w:themeColor="text1"/>
          <w:lang w:val="en-GB"/>
        </w:rPr>
        <w:t xml:space="preserve"> </w:t>
      </w:r>
      <w:r w:rsidRPr="0023392F">
        <w:rPr>
          <w:rFonts w:ascii="Times New Roman" w:eastAsia="SimSun" w:hAnsi="Times New Roman" w:cs="Times New Roman"/>
          <w:color w:val="000000" w:themeColor="text1"/>
          <w:kern w:val="0"/>
          <w:sz w:val="16"/>
          <w:szCs w:val="16"/>
          <w:lang w:val="en-GB" w:eastAsia="zh-CN"/>
          <w14:ligatures w14:val="none"/>
        </w:rPr>
        <w:t>reference to the directional learning outcome</w:t>
      </w:r>
      <w:r w:rsidRPr="00763868">
        <w:rPr>
          <w:rFonts w:ascii="Times New Roman" w:eastAsia="SimSun" w:hAnsi="Times New Roman" w:cs="Times New Roman"/>
          <w:color w:val="000000" w:themeColor="text1"/>
          <w:kern w:val="0"/>
          <w:sz w:val="16"/>
          <w:szCs w:val="16"/>
          <w:lang w:val="en-GB" w:eastAsia="zh-CN"/>
          <w14:ligatures w14:val="none"/>
        </w:rPr>
        <w:t xml:space="preserve">; ** </w:t>
      </w:r>
      <w:r w:rsidRPr="0023392F">
        <w:rPr>
          <w:rFonts w:ascii="Times New Roman" w:eastAsia="SimSun" w:hAnsi="Times New Roman" w:cs="Times New Roman"/>
          <w:color w:val="000000" w:themeColor="text1"/>
          <w:kern w:val="0"/>
          <w:sz w:val="16"/>
          <w:szCs w:val="16"/>
          <w:lang w:val="en-GB" w:eastAsia="zh-CN"/>
          <w14:ligatures w14:val="none"/>
        </w:rPr>
        <w:t>consecutive numbers of the subject/detail learning outcome</w:t>
      </w:r>
    </w:p>
    <w:p w14:paraId="6B5955EE" w14:textId="77777777" w:rsidR="00120CB1" w:rsidRPr="00763868" w:rsidRDefault="00120CB1" w:rsidP="00120CB1">
      <w:pPr>
        <w:spacing w:line="259" w:lineRule="auto"/>
        <w:rPr>
          <w:rFonts w:ascii="Calibri" w:eastAsia="Calibri" w:hAnsi="Calibri" w:cs="Times New Roman"/>
          <w:color w:val="000000" w:themeColor="text1"/>
          <w:sz w:val="22"/>
          <w:szCs w:val="22"/>
          <w:lang w:val="en-GB"/>
        </w:rPr>
      </w:pPr>
    </w:p>
    <w:p w14:paraId="5D428F1C" w14:textId="77777777" w:rsidR="00120CB1" w:rsidRPr="0023392F" w:rsidRDefault="00120CB1" w:rsidP="00120CB1">
      <w:pPr>
        <w:rPr>
          <w:color w:val="000000" w:themeColor="text1"/>
          <w:lang w:val="en-GB"/>
        </w:rPr>
      </w:pPr>
    </w:p>
    <w:p w14:paraId="436A549C" w14:textId="77777777" w:rsidR="00120CB1" w:rsidRPr="00120CB1" w:rsidRDefault="00120CB1">
      <w:pPr>
        <w:rPr>
          <w:lang w:val="en-GB"/>
        </w:rPr>
      </w:pPr>
    </w:p>
    <w:sectPr w:rsidR="00120CB1" w:rsidRPr="00120CB1" w:rsidSect="00120CB1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04962" w14:textId="77777777" w:rsidR="008F756B" w:rsidRDefault="008F756B" w:rsidP="00F862F1">
      <w:pPr>
        <w:spacing w:after="0" w:line="240" w:lineRule="auto"/>
      </w:pPr>
      <w:r>
        <w:separator/>
      </w:r>
    </w:p>
  </w:endnote>
  <w:endnote w:type="continuationSeparator" w:id="0">
    <w:p w14:paraId="657E1410" w14:textId="77777777" w:rsidR="008F756B" w:rsidRDefault="008F756B" w:rsidP="00F86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D6BD9" w14:textId="77777777" w:rsidR="00B55D05" w:rsidRDefault="00B55D05">
    <w:pPr>
      <w:pStyle w:val="Stopka1"/>
    </w:pPr>
  </w:p>
  <w:p w14:paraId="617F6A8D" w14:textId="77777777" w:rsidR="00B55D05" w:rsidRDefault="00B55D0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C6528" w14:textId="77777777" w:rsidR="008F756B" w:rsidRDefault="008F756B" w:rsidP="00F862F1">
      <w:pPr>
        <w:spacing w:after="0" w:line="240" w:lineRule="auto"/>
      </w:pPr>
      <w:r>
        <w:separator/>
      </w:r>
    </w:p>
  </w:footnote>
  <w:footnote w:type="continuationSeparator" w:id="0">
    <w:p w14:paraId="2EB7BA5B" w14:textId="77777777" w:rsidR="008F756B" w:rsidRDefault="008F756B" w:rsidP="00F86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9048E" w14:textId="77777777" w:rsidR="00B55D05" w:rsidRDefault="00B55D05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06B09E32" w14:textId="77777777" w:rsidR="00B55D05" w:rsidRPr="00657E22" w:rsidRDefault="00253CDB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40B19923" w14:textId="77777777" w:rsidR="00B55D05" w:rsidRPr="00657E22" w:rsidRDefault="00253CDB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84CBDA9" w14:textId="77777777" w:rsidR="00B55D05" w:rsidRPr="00917F89" w:rsidRDefault="00253CDB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917F89">
      <w:rPr>
        <w:rFonts w:ascii="Times New Roman" w:eastAsia="Times New Roman" w:hAnsi="Times New Roman" w:cs="Times New Roman"/>
        <w:b/>
        <w:bCs/>
        <w:lang w:eastAsia="pl-PL"/>
      </w:rPr>
      <w:t xml:space="preserve">major: administration </w:t>
    </w:r>
  </w:p>
  <w:p w14:paraId="3314F674" w14:textId="77777777" w:rsidR="00B55D05" w:rsidRPr="00CA147B" w:rsidRDefault="00253CDB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val="en-GB" w:eastAsia="pl-PL"/>
      </w:rPr>
    </w:pPr>
    <w:r w:rsidRPr="00CA147B">
      <w:rPr>
        <w:rFonts w:ascii="Times New Roman" w:eastAsia="Times New Roman" w:hAnsi="Times New Roman" w:cs="Times New Roman"/>
        <w:b/>
        <w:bCs/>
        <w:lang w:val="en-GB" w:eastAsia="pl-PL"/>
      </w:rPr>
      <w:t>academic year 2024/2025</w:t>
    </w:r>
  </w:p>
  <w:p w14:paraId="463F95EF" w14:textId="77777777" w:rsidR="00B55D05" w:rsidRPr="00CA147B" w:rsidRDefault="00B55D05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val="en-GB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F26005"/>
    <w:multiLevelType w:val="hybridMultilevel"/>
    <w:tmpl w:val="36ACC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11F3E"/>
    <w:multiLevelType w:val="hybridMultilevel"/>
    <w:tmpl w:val="5FEA0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C1EEE"/>
    <w:multiLevelType w:val="hybridMultilevel"/>
    <w:tmpl w:val="18FE1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50C60"/>
    <w:multiLevelType w:val="hybridMultilevel"/>
    <w:tmpl w:val="04A22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17988">
    <w:abstractNumId w:val="3"/>
  </w:num>
  <w:num w:numId="2" w16cid:durableId="111096695">
    <w:abstractNumId w:val="0"/>
  </w:num>
  <w:num w:numId="3" w16cid:durableId="1737438795">
    <w:abstractNumId w:val="2"/>
  </w:num>
  <w:num w:numId="4" w16cid:durableId="599071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CB1"/>
    <w:rsid w:val="000D6937"/>
    <w:rsid w:val="00120CB1"/>
    <w:rsid w:val="002439BC"/>
    <w:rsid w:val="00253CDB"/>
    <w:rsid w:val="003478DC"/>
    <w:rsid w:val="00380E33"/>
    <w:rsid w:val="005A6514"/>
    <w:rsid w:val="005F7765"/>
    <w:rsid w:val="006D629C"/>
    <w:rsid w:val="008F756B"/>
    <w:rsid w:val="00A92AEE"/>
    <w:rsid w:val="00B55D05"/>
    <w:rsid w:val="00D7257E"/>
    <w:rsid w:val="00D81F9B"/>
    <w:rsid w:val="00D84333"/>
    <w:rsid w:val="00E451F9"/>
    <w:rsid w:val="00F862F1"/>
    <w:rsid w:val="00FC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3643CB"/>
  <w15:chartTrackingRefBased/>
  <w15:docId w15:val="{C22CCB73-9391-47EB-BE73-175744CF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CB1"/>
  </w:style>
  <w:style w:type="paragraph" w:styleId="Nagwek1">
    <w:name w:val="heading 1"/>
    <w:basedOn w:val="Normalny"/>
    <w:next w:val="Normalny"/>
    <w:link w:val="Nagwek1Znak"/>
    <w:uiPriority w:val="9"/>
    <w:qFormat/>
    <w:rsid w:val="00120C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0C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0C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0C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0C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0C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0C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0C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0C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0C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0C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0C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0C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0C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0C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0C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0C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0C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0C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0C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0C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0C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0C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0C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0C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0C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0C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0C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0CB1"/>
    <w:rPr>
      <w:b/>
      <w:bCs/>
      <w:smallCaps/>
      <w:color w:val="0F4761" w:themeColor="accent1" w:themeShade="BF"/>
      <w:spacing w:val="5"/>
    </w:rPr>
  </w:style>
  <w:style w:type="paragraph" w:customStyle="1" w:styleId="Stopka1">
    <w:name w:val="Stopka1"/>
    <w:basedOn w:val="Normalny"/>
    <w:next w:val="Stopka"/>
    <w:link w:val="StopkaZnak"/>
    <w:uiPriority w:val="99"/>
    <w:semiHidden/>
    <w:unhideWhenUsed/>
    <w:rsid w:val="00120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semiHidden/>
    <w:rsid w:val="00120CB1"/>
  </w:style>
  <w:style w:type="paragraph" w:styleId="Stopka">
    <w:name w:val="footer"/>
    <w:basedOn w:val="Normalny"/>
    <w:link w:val="StopkaZnak1"/>
    <w:uiPriority w:val="99"/>
    <w:unhideWhenUsed/>
    <w:rsid w:val="00120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120CB1"/>
  </w:style>
  <w:style w:type="paragraph" w:styleId="Nagwek">
    <w:name w:val="header"/>
    <w:basedOn w:val="Normalny"/>
    <w:link w:val="NagwekZnak"/>
    <w:uiPriority w:val="99"/>
    <w:unhideWhenUsed/>
    <w:rsid w:val="00F86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1307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3</cp:revision>
  <dcterms:created xsi:type="dcterms:W3CDTF">2025-02-10T06:52:00Z</dcterms:created>
  <dcterms:modified xsi:type="dcterms:W3CDTF">2025-07-11T06:22:00Z</dcterms:modified>
</cp:coreProperties>
</file>