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90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4A0" w:firstRow="1" w:lastRow="0" w:firstColumn="1" w:lastColumn="0" w:noHBand="0" w:noVBand="1"/>
      </w:tblPr>
      <w:tblGrid>
        <w:gridCol w:w="1405"/>
        <w:gridCol w:w="279"/>
        <w:gridCol w:w="178"/>
        <w:gridCol w:w="533"/>
        <w:gridCol w:w="756"/>
        <w:gridCol w:w="571"/>
        <w:gridCol w:w="660"/>
        <w:gridCol w:w="1201"/>
        <w:gridCol w:w="105"/>
        <w:gridCol w:w="153"/>
        <w:gridCol w:w="1603"/>
        <w:gridCol w:w="483"/>
        <w:gridCol w:w="28"/>
        <w:gridCol w:w="966"/>
        <w:gridCol w:w="384"/>
        <w:gridCol w:w="352"/>
        <w:gridCol w:w="1533"/>
      </w:tblGrid>
      <w:tr w:rsidR="00B54CFA" w14:paraId="6BCB3B5B" w14:textId="77777777" w:rsidTr="00B54CFA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C8A6FA6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35E9F791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hi-IN" w:bidi="hi-IN"/>
              </w:rPr>
              <w:t>Prawo karne i wykroczeń</w:t>
            </w:r>
          </w:p>
        </w:tc>
      </w:tr>
      <w:tr w:rsidR="00B54CFA" w14:paraId="09E38295" w14:textId="77777777" w:rsidTr="00B54CFA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EB10F69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Koordynator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9A92B01" w14:textId="27539B8F" w:rsidR="00B54CFA" w:rsidRDefault="00D73C6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B54CFA" w14:paraId="17FC4A3D" w14:textId="77777777" w:rsidTr="00B54CFA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81550F6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4CFEE77" w14:textId="479C4A56" w:rsidR="00B54CFA" w:rsidRDefault="00D73C6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B54CFA" w14:paraId="14C16987" w14:textId="77777777" w:rsidTr="00B54CFA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4B8B511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D071BC6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B54CFA" w14:paraId="741F939C" w14:textId="77777777" w:rsidTr="00B54CFA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5AFA176A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7612043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B54CFA" w14:paraId="7B614A57" w14:textId="77777777" w:rsidTr="00B54CFA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A6ECFBD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8248079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B54CFA" w14:paraId="00370081" w14:textId="77777777" w:rsidTr="00B54CFA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5E6DE823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396F5C5C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B54CFA" w14:paraId="09AC365B" w14:textId="77777777" w:rsidTr="00B54CFA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591B087D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D218304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stopień, IV semestr</w:t>
            </w:r>
          </w:p>
        </w:tc>
      </w:tr>
      <w:tr w:rsidR="00B54CFA" w14:paraId="60351857" w14:textId="77777777" w:rsidTr="00B54CFA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EADE4F3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B54CFA" w14:paraId="6C7A9BD5" w14:textId="77777777" w:rsidTr="00B54CFA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F3A82E" w14:textId="77777777" w:rsidR="00B54CFA" w:rsidRDefault="00B54CF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187E019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4AD14CC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F03975E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7D2F95E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3B56DAF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23D8094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B54CFA" w14:paraId="32A3E10F" w14:textId="77777777" w:rsidTr="009969CF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6B93410" w14:textId="77777777" w:rsidR="00B54CFA" w:rsidRDefault="00B54CF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A0F230D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C09060" w14:textId="376F0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6F8705" w14:textId="449C3376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9BA3FC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EEB3DD" w14:textId="7BB70E48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7723C3" w14:textId="3B4C5DCB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54CFA" w14:paraId="59ED7BC6" w14:textId="77777777" w:rsidTr="009969CF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3FDC188" w14:textId="77777777" w:rsidR="00B54CFA" w:rsidRDefault="00B54CF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8F66A61" w14:textId="335ABE89" w:rsidR="00B54CFA" w:rsidRDefault="00996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5BDB43" w14:textId="396A0304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F772E1" w14:textId="397E32A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5FEFDE7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5F4A6E" w14:textId="3524173C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B72AB0" w14:textId="38ABE2AF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54CFA" w14:paraId="79891E7C" w14:textId="77777777" w:rsidTr="00B54CFA">
        <w:trPr>
          <w:trHeight w:val="369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6B252F8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225A720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Podstawowa wiedza z zakresu psychologii.</w:t>
            </w:r>
          </w:p>
        </w:tc>
      </w:tr>
      <w:tr w:rsidR="00B54CFA" w14:paraId="01413321" w14:textId="77777777" w:rsidTr="00B54CFA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C636D2B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D5FC73D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C1: Zdobycie wiedzy z zakresu prawa karnego materialnego i prawa wykroczeń.</w:t>
            </w:r>
          </w:p>
          <w:p w14:paraId="4E6B46FA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Zdobycie wiedzy na temat typów czynów zabronionych spenalizowanych w kodeksie karnym i kodeksie wykroczeń oraz ustawowych znamion poszczególnych przestępstw i wykroczeń. </w:t>
            </w:r>
          </w:p>
          <w:p w14:paraId="048EBA2B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C3: Nabycie umiejętności właściwej interpretacji znamion typów czynów zabronionych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oraz dokonywania odpowiedniej kwalifikacji prawnej zachowania sprawcy.</w:t>
            </w:r>
          </w:p>
          <w:p w14:paraId="7288B2D3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C4: Nabycie umiejętności </w:t>
            </w:r>
            <w:r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  <w:t>samodzielnej analizy i rozwiązania kazusów, samodzielnej analizy tekstu prawnego i jego interpretacji.</w:t>
            </w:r>
          </w:p>
        </w:tc>
      </w:tr>
      <w:tr w:rsidR="00B54CFA" w14:paraId="5FB35A6E" w14:textId="77777777" w:rsidTr="00B54CFA">
        <w:trPr>
          <w:trHeight w:val="583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D5330CF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B845B67" w14:textId="111B8089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wykład </w:t>
            </w:r>
            <w:r w:rsidR="009969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knwersatoryjny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przypadku, ćwiczenia, praca z tekstem - analiza aktów prawnych</w:t>
            </w:r>
          </w:p>
        </w:tc>
      </w:tr>
      <w:tr w:rsidR="00B54CFA" w14:paraId="07AC9AEC" w14:textId="77777777" w:rsidTr="00B54CFA">
        <w:trPr>
          <w:trHeight w:val="3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EA109E5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3059187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 literatura, tablica szkolna</w:t>
            </w:r>
          </w:p>
        </w:tc>
      </w:tr>
      <w:tr w:rsidR="00B54CFA" w14:paraId="39543F99" w14:textId="77777777" w:rsidTr="00B54CFA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C01007" w14:textId="77777777" w:rsidR="00B54CFA" w:rsidRDefault="00B54CFA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A33A12A" w14:textId="77777777" w:rsidR="00B54CFA" w:rsidRDefault="00B54CFA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9BAC7E4" w14:textId="77777777" w:rsidR="00B54CFA" w:rsidRDefault="00B54CFA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D933D88" w14:textId="77777777" w:rsidR="00B54CFA" w:rsidRDefault="00B54CFA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4AC8418" w14:textId="77777777" w:rsidR="00B54CFA" w:rsidRDefault="00B54CFA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B54CFA" w14:paraId="6F45F9DA" w14:textId="77777777" w:rsidTr="00B54CFA">
        <w:trPr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01890DE" w14:textId="77777777" w:rsidR="00B54CFA" w:rsidRDefault="00B54CF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97A8F01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K_W04</w:t>
            </w:r>
          </w:p>
          <w:p w14:paraId="6DCD0B07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K_W10</w:t>
            </w:r>
          </w:p>
          <w:p w14:paraId="6E2CFA82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K_W12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4E934DE1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041F85F0" w14:textId="77777777" w:rsidR="00B54CFA" w:rsidRDefault="00B54CFA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wiedzę ogólną, obejmującą zasady funkcjonowania przepisów prawa karnego i prawa wykroczeń w szczególności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z zakresu źródeł, zasad odpowiedzialności, form popełnienia przestępstwa, okoliczności wyłączających odpowiedzialność oraz kar i środków karnych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861E975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B54CFA" w14:paraId="09B78F79" w14:textId="77777777" w:rsidTr="00B54CFA">
        <w:trPr>
          <w:trHeight w:val="300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8F23EB" w14:textId="77777777" w:rsidR="00B54CFA" w:rsidRDefault="00B54CFA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061D4CD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K_W04</w:t>
            </w:r>
          </w:p>
          <w:p w14:paraId="142D7B91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K_W06</w:t>
            </w:r>
          </w:p>
          <w:p w14:paraId="2FEA1AE8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K_W12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4316F6B8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6303D2C6" w14:textId="77777777" w:rsidR="00B54CFA" w:rsidRDefault="00B54CFA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i rozumie charakter działania poszczególnych instytucji bezpieczeństwa, w szczególności policji oraz ich wpływ na zabezpieczenie porządku publicznego w państwie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4B9DF48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B54CFA" w14:paraId="5578D6A6" w14:textId="77777777" w:rsidTr="00B54CFA">
        <w:trPr>
          <w:trHeight w:val="38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07BEEA" w14:textId="77777777" w:rsidR="00B54CFA" w:rsidRDefault="00B54CFA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E340C6B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K_W08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DCD56EA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198C1405" w14:textId="77777777" w:rsidR="00B54CFA" w:rsidRDefault="00B54CFA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definiuje podstawowe pojęcia z zakresu prawa karnego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i prawa wykroczeń posługując się przy tym terminologię właściwą dla prawa karnego i prawa wykroczeń.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DE8C275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B54CFA" w14:paraId="2FFB5F22" w14:textId="77777777" w:rsidTr="00B54CFA">
        <w:trPr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7CF7779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D271648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K_U01</w:t>
            </w:r>
          </w:p>
          <w:p w14:paraId="2F8E79E9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K_U05</w:t>
            </w:r>
          </w:p>
          <w:p w14:paraId="07E7AA80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D84B595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4737011A" w14:textId="77777777" w:rsidR="00B54CFA" w:rsidRDefault="00B54CFA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dokonuje prawidłowej subsumpcji określonej normy prawnej do podanego stanu faktycznego.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4321279" w14:textId="195F0510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dyskusji, studium przypadku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w oparciu o pracę z tekstem prawnym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(w tym: dokonywanie analizy i syntezy, interpretowanie </w:t>
            </w:r>
            <w:r w:rsidR="009969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przypadku, argumentowanie, uzasadnianie argumentów i wyciągniętych wniosków)</w:t>
            </w:r>
          </w:p>
        </w:tc>
      </w:tr>
      <w:tr w:rsidR="00B54CFA" w14:paraId="61390615" w14:textId="77777777" w:rsidTr="00B54CFA">
        <w:trPr>
          <w:trHeight w:val="200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7D7783" w14:textId="77777777" w:rsidR="00B54CFA" w:rsidRDefault="00B54CFA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5EC677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77F08FF4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K_U01</w:t>
            </w:r>
          </w:p>
          <w:p w14:paraId="62CF83D7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K_U02</w:t>
            </w:r>
          </w:p>
          <w:p w14:paraId="4E01C737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K_U06</w:t>
            </w:r>
          </w:p>
          <w:p w14:paraId="35446957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K_U07</w:t>
            </w:r>
          </w:p>
          <w:p w14:paraId="1C89F8B6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K_U09</w:t>
            </w:r>
          </w:p>
          <w:p w14:paraId="74172A3E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7BC7B58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54D4AB52" w14:textId="77777777" w:rsidR="00B54CFA" w:rsidRDefault="00B54CFA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przedstawić podstawowe zagadnienia dotyczące problematyki części ogólnej prawa karnego i prawa wykroczeń oraz znaczenie i przesłanki stosowania poszczególnych regulacji.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DBD4625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(w tym: dokonywanie analizy i syntezy, argumentowanie, uzasadnianie argumentów i wyciągniętych wniosków)</w:t>
            </w:r>
          </w:p>
        </w:tc>
      </w:tr>
      <w:tr w:rsidR="00B54CFA" w14:paraId="693D81DD" w14:textId="77777777" w:rsidTr="00B54CFA">
        <w:trPr>
          <w:trHeight w:val="200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AB2B38" w14:textId="77777777" w:rsidR="00B54CFA" w:rsidRDefault="00B54CFA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8A5EA25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K_U01</w:t>
            </w:r>
          </w:p>
          <w:p w14:paraId="50146F5F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K_U02</w:t>
            </w:r>
          </w:p>
          <w:p w14:paraId="3B0178DD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K_U03</w:t>
            </w:r>
          </w:p>
          <w:p w14:paraId="42867899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K_U06</w:t>
            </w:r>
          </w:p>
          <w:p w14:paraId="3BCD55E8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F657454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022CAC90" w14:textId="77777777" w:rsidR="00B54CFA" w:rsidRDefault="00B54CFA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wyszukiwać, analizować i użytkować informację ze</w:t>
            </w:r>
          </w:p>
          <w:p w14:paraId="06E4AEF6" w14:textId="77777777" w:rsidR="00B54CFA" w:rsidRDefault="00B54CFA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źródeł prawa karnego i prawa wykroczeń oraz z orzecznictwa z zakresu prawa karnego i prawa wykroczeń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E18D203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dyskusji, studium przypadku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w oparciu o pracę z tekstem prawnym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(w tym: dokonywanie analizy i syntezy, interpretowanie przypad-ku, argumentowanie, uzasadnianie argumentów i wyciągniętych wniosków)</w:t>
            </w:r>
          </w:p>
        </w:tc>
      </w:tr>
      <w:tr w:rsidR="00B54CFA" w14:paraId="52499F26" w14:textId="77777777" w:rsidTr="00B54CFA">
        <w:trPr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7ABE27F" w14:textId="77777777" w:rsidR="00B54CFA" w:rsidRDefault="00B54CF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81D172D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KP_K01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br/>
              <w:t>KP_K03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F0EE8B3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6A01DC36" w14:textId="77777777" w:rsidR="00B54CFA" w:rsidRDefault="00B54CFA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zakres posiadanej przez siebie wiedzy i zachowuje krytycyzm w wyrażaniu opinii w zakresie podstawowych zagadnień prawa karnego i wykroczeń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46A04DE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</w:t>
            </w:r>
          </w:p>
        </w:tc>
      </w:tr>
      <w:tr w:rsidR="00B54CFA" w14:paraId="7A4460F5" w14:textId="77777777" w:rsidTr="00B54CFA">
        <w:trPr>
          <w:trHeight w:val="58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6B6139" w14:textId="77777777" w:rsidR="00B54CFA" w:rsidRDefault="00B54CFA">
            <w:pPr>
              <w:spacing w:after="0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B7DC18A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276B276" w14:textId="77777777" w:rsidR="00B54CFA" w:rsidRDefault="00B54CF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8" w:type="dxa"/>
            </w:tcMar>
            <w:vAlign w:val="center"/>
            <w:hideMark/>
          </w:tcPr>
          <w:p w14:paraId="0EA91EDB" w14:textId="77777777" w:rsidR="00B54CFA" w:rsidRDefault="00B54CFA">
            <w:pPr>
              <w:suppressAutoHyphens/>
              <w:spacing w:after="0" w:line="276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dalszego kształcenia mając świadomość zmienności unormowań prawa karnego i wykroczeń.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9115DB3" w14:textId="77777777" w:rsidR="00B54CFA" w:rsidRDefault="00B54CF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</w:t>
            </w:r>
          </w:p>
        </w:tc>
      </w:tr>
      <w:tr w:rsidR="00B54CFA" w14:paraId="2B6A703D" w14:textId="77777777" w:rsidTr="00B54CF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C489B67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br w:type="page"/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87E96C1" w14:textId="64295A7D" w:rsidR="00B54CFA" w:rsidRDefault="007D2A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B54CFA" w14:paraId="6C0F4093" w14:textId="77777777" w:rsidTr="00B54CFA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D608D08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B54CFA" w14:paraId="6DD51235" w14:textId="77777777" w:rsidTr="00B54CF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02D2AFC" w14:textId="77777777" w:rsidR="00B54CFA" w:rsidRDefault="00B54CFA" w:rsidP="005C6FEB">
            <w:pPr>
              <w:pStyle w:val="Akapitzlist"/>
              <w:numPr>
                <w:ilvl w:val="0"/>
                <w:numId w:val="1"/>
              </w:numPr>
              <w:suppressAutoHyphens/>
              <w:spacing w:after="20" w:line="276" w:lineRule="auto"/>
              <w:ind w:left="319" w:hanging="284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Elementy wstępu do prawoznawstwa, pojęcie i budowa normy prawnej, budowa tekstu prawnego, źródła prawa.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FD6C874" w14:textId="5A7D7D57" w:rsidR="00B54CFA" w:rsidRDefault="007D2A5F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EPW1, EPW2, EPW3, EPU1, EPU2,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B54CFA" w14:paraId="6C42F47A" w14:textId="77777777" w:rsidTr="00B54CF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2287610" w14:textId="77777777" w:rsidR="00B54CFA" w:rsidRDefault="00B54CFA" w:rsidP="005C6FEB">
            <w:pPr>
              <w:pStyle w:val="Akapitzlist"/>
              <w:numPr>
                <w:ilvl w:val="0"/>
                <w:numId w:val="1"/>
              </w:numPr>
              <w:suppressAutoHyphens/>
              <w:spacing w:after="20" w:line="276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Pojęcie prawa karnego, źródła prawa karnego, zakres stosowania i jego funkcje.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5461291" w14:textId="1F8FE6F3" w:rsidR="00B54CFA" w:rsidRDefault="007D2A5F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EPW1, EPW2, EPW3, EPU1, EPU2,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B54CFA" w14:paraId="7FE7124B" w14:textId="77777777" w:rsidTr="00B54CF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5FA9E82D" w14:textId="77777777" w:rsidR="00B54CFA" w:rsidRDefault="00B54CFA" w:rsidP="005C6FEB">
            <w:pPr>
              <w:pStyle w:val="Akapitzlist"/>
              <w:numPr>
                <w:ilvl w:val="0"/>
                <w:numId w:val="1"/>
              </w:numPr>
              <w:suppressAutoHyphens/>
              <w:spacing w:after="20" w:line="276" w:lineRule="auto"/>
              <w:ind w:left="318" w:hanging="284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Definicja przestępstwa i wykroczenia, pojęcie czynu zabronionego, budowa znamion przestępstwa i wykroczenia.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43CE9EE" w14:textId="77BA795A" w:rsidR="00B54CFA" w:rsidRDefault="007D2A5F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EPW1, EPW2, EPW3, EPU1, EPU2,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B54CFA" w14:paraId="1FEAE3BA" w14:textId="77777777" w:rsidTr="00B54CF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5EB5C859" w14:textId="77777777" w:rsidR="00B54CFA" w:rsidRDefault="00B54CFA" w:rsidP="005C6FEB">
            <w:pPr>
              <w:pStyle w:val="Akapitzlist"/>
              <w:numPr>
                <w:ilvl w:val="0"/>
                <w:numId w:val="1"/>
              </w:numPr>
              <w:suppressAutoHyphens/>
              <w:spacing w:after="20" w:line="276" w:lineRule="auto"/>
              <w:ind w:left="318" w:hanging="284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Tryby ścigania przestępstw i wykroczeń.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ED3D6F8" w14:textId="51A21B95" w:rsidR="00B54CFA" w:rsidRDefault="007D2A5F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EPW1, EPW2, EPW3, EPU1, EPU2,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B54CFA" w14:paraId="1540DC80" w14:textId="77777777" w:rsidTr="00B54CF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112F2553" w14:textId="77777777" w:rsidR="00B54CFA" w:rsidRDefault="00B54CFA" w:rsidP="005C6FEB">
            <w:pPr>
              <w:pStyle w:val="Akapitzlist"/>
              <w:numPr>
                <w:ilvl w:val="0"/>
                <w:numId w:val="1"/>
              </w:numPr>
              <w:suppressAutoHyphens/>
              <w:spacing w:after="20" w:line="276" w:lineRule="auto"/>
              <w:ind w:left="318" w:hanging="284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Pojęcie winy i odpowiedzialności karnej, formy stadialne i zjawiskowe przestępstwa i wykroczenia.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8B790F5" w14:textId="5C405C7D" w:rsidR="00B54CFA" w:rsidRDefault="007D2A5F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EPW1, EPW2, EPW3, EPU1, EPU2,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B54CFA" w14:paraId="22D83423" w14:textId="77777777" w:rsidTr="00B54CF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7457D7A3" w14:textId="77777777" w:rsidR="00B54CFA" w:rsidRDefault="00B54CFA" w:rsidP="005C6FEB">
            <w:pPr>
              <w:pStyle w:val="Akapitzlist"/>
              <w:numPr>
                <w:ilvl w:val="0"/>
                <w:numId w:val="1"/>
              </w:numPr>
              <w:suppressAutoHyphens/>
              <w:spacing w:after="20" w:line="276" w:lineRule="auto"/>
              <w:ind w:left="318" w:hanging="284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Wyłączenie odpowiedzialności karnej, okoliczności wyłączające bezprawność i winę.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8F890CF" w14:textId="7BC09D40" w:rsidR="00B54CFA" w:rsidRDefault="007D2A5F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EPW1, EPW2, EPW3, EPU1, EPU2,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</w:tr>
      <w:tr w:rsidR="00B54CFA" w14:paraId="06A94496" w14:textId="77777777" w:rsidTr="00B54CF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0"/>
              <w:right w:val="single" w:sz="6" w:space="0" w:color="00000A"/>
            </w:tcBorders>
            <w:hideMark/>
          </w:tcPr>
          <w:p w14:paraId="5B54DB82" w14:textId="77777777" w:rsidR="00B54CFA" w:rsidRDefault="00B54CFA" w:rsidP="005C6FEB">
            <w:pPr>
              <w:pStyle w:val="Akapitzlist"/>
              <w:numPr>
                <w:ilvl w:val="0"/>
                <w:numId w:val="1"/>
              </w:numPr>
              <w:suppressAutoHyphens/>
              <w:spacing w:after="20" w:line="276" w:lineRule="auto"/>
              <w:ind w:left="318" w:hanging="284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Rodzaje postępowań szczególnych – postępowanie z oskarżenia prywatnego i w trybie przyśpieszonym.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175FE4A" w14:textId="04925D39" w:rsidR="00B54CFA" w:rsidRDefault="007D2A5F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EPW1, EPW2, EPW3, EPU1, EPU3,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B54CFA" w14:paraId="52DCCAB9" w14:textId="77777777" w:rsidTr="00B54CFA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0"/>
              <w:right w:val="single" w:sz="6" w:space="0" w:color="00000A"/>
            </w:tcBorders>
            <w:hideMark/>
          </w:tcPr>
          <w:p w14:paraId="26B8F0F5" w14:textId="77777777" w:rsidR="00B54CFA" w:rsidRDefault="00B54CFA" w:rsidP="005C6FEB">
            <w:pPr>
              <w:pStyle w:val="Akapitzlist"/>
              <w:numPr>
                <w:ilvl w:val="0"/>
                <w:numId w:val="1"/>
              </w:numPr>
              <w:suppressAutoHyphens/>
              <w:spacing w:after="20" w:line="276" w:lineRule="auto"/>
              <w:ind w:left="318" w:hanging="284"/>
              <w:outlineLvl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Prowadzenie czynności wyjaśniających w sprawach o wykroczenie – środki oddziaływania wychowawczego, postępowanie mandatowe, sporządzenie wniosku o ukaranie.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0009EE7" w14:textId="6A2FC4CE" w:rsidR="00B54CFA" w:rsidRDefault="007D2A5F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EPW1, EPW2, EPW3, EPU1, EPU3, 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B54CFA" w14:paraId="48D7D3F7" w14:textId="77777777" w:rsidTr="00B54CFA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6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B5A0DFE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B54CFA" w14:paraId="4E908138" w14:textId="77777777" w:rsidTr="00B54CFA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AEB8CF7" w14:textId="77777777" w:rsidR="00B54CFA" w:rsidRDefault="00B54CF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Pozytywne zaliczenie ćwiczeń umożliwia podejście do zaliczenia z wykładu. </w:t>
            </w:r>
          </w:p>
          <w:p w14:paraId="598B983A" w14:textId="77777777" w:rsidR="00B54CFA" w:rsidRDefault="00B54CF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(z wykładu i ćwiczeń): forma pisemna – test wiedzy składający się z pytań jednokrotnego wyboru.</w:t>
            </w:r>
          </w:p>
          <w:p w14:paraId="5B5BC142" w14:textId="77777777" w:rsidR="00B54CFA" w:rsidRDefault="00B54CF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Każde pytanie jest ocenianie „0” (odpowiedź błędna), „1” (odpowiedź prawidłowa). Uzyskanie pozytywnej oceny wymaga uzyskania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  <w:t xml:space="preserve">co najmniej 60% możliwych punktów. </w:t>
            </w:r>
          </w:p>
          <w:p w14:paraId="6A11F929" w14:textId="77777777" w:rsidR="00B54CFA" w:rsidRDefault="00B54CF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 xml:space="preserve">Wszystkich studentów obejmuje ten sam termin zaliczenia. Nieobecność na zaliczeniu w oznaczonym terminie jest równoznaczna z jego niezaliczeniem. Każdy kolejny termin i uzyskane oceny są wliczana do oceny końcowej (średnia arytmetyczna). </w:t>
            </w:r>
          </w:p>
        </w:tc>
      </w:tr>
      <w:tr w:rsidR="00B54CFA" w14:paraId="3977ABCE" w14:textId="77777777" w:rsidTr="00B54CFA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18BA2DB1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Kryteria oceny</w:t>
            </w:r>
          </w:p>
        </w:tc>
      </w:tr>
      <w:tr w:rsidR="00B54CFA" w14:paraId="3B7D4F06" w14:textId="77777777" w:rsidTr="00B54CFA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3F06C2C5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016ADD9B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7BC43535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313A3169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086519A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BF54D39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6CA05A19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5EAD5B7B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3B9B54D3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51120602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B54CFA" w14:paraId="1D4DF6CE" w14:textId="77777777" w:rsidTr="00B54CFA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14D59EB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1F7F63D1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7524FB6D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26CE6EC6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587C643D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371E6ED9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58F49E2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05122EC8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259973AB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AF725C4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  <w:hideMark/>
          </w:tcPr>
          <w:p w14:paraId="46707DFC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9E05B6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B54CFA" w14:paraId="398F94B0" w14:textId="77777777" w:rsidTr="00B54CFA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hideMark/>
          </w:tcPr>
          <w:p w14:paraId="5301EE96" w14:textId="77777777" w:rsidR="00B54CFA" w:rsidRDefault="00B54CF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C2AE1B6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6421C833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i wykazać się wiedzą i umiejętnościami; wymagane efekty uczenia się nie zostały osiągnięte,</w:t>
            </w:r>
          </w:p>
          <w:p w14:paraId="7F0A387F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hideMark/>
          </w:tcPr>
          <w:p w14:paraId="46265686" w14:textId="77777777" w:rsidR="00B54CFA" w:rsidRDefault="00B54CF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7D22C38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64F73C81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 wykorzystaniem zdobytych informacji,</w:t>
            </w:r>
          </w:p>
          <w:p w14:paraId="7BD90ABC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dostatecznym,</w:t>
            </w:r>
          </w:p>
          <w:p w14:paraId="507DC163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370CCCF" w14:textId="77777777" w:rsidR="00B54CFA" w:rsidRDefault="00B54CFA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96DCC83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na zrozumienie większości zagadnień z danego przedmiotu, </w:t>
            </w:r>
          </w:p>
          <w:p w14:paraId="244B709E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z wykorzystaniem zdobytych informacji;</w:t>
            </w:r>
          </w:p>
          <w:p w14:paraId="7D2C2B9F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zadowalającym,</w:t>
            </w:r>
          </w:p>
          <w:p w14:paraId="229264E1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534D7CA" w14:textId="77777777" w:rsidR="00B54CFA" w:rsidRDefault="00B54CFA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747483C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44AAF632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6DB3B22E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dostrzega błędy popełniane przy rozwiązywaniu określonego zadania;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stopniu dobrym, </w:t>
            </w:r>
          </w:p>
          <w:p w14:paraId="21C77CA2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D05184F" w14:textId="77777777" w:rsidR="00B54CFA" w:rsidRDefault="00B54CFA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7827726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w 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7321CEBC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koryguje błędy popełniane przy rozwiązywaniu określonego zadania; efekty uczenia się 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poziomie ponad dobrym,</w:t>
            </w:r>
          </w:p>
          <w:p w14:paraId="7304EBA5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ED101C5" w14:textId="77777777" w:rsidR="00B54CFA" w:rsidRDefault="00B54CFA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533D9A89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i umiejętnościami przewidzianymi                w programie studiów w zakresie treści dopełniających,</w:t>
            </w:r>
          </w:p>
          <w:p w14:paraId="7D5E6DE8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2AAB4BF4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88D8E0F" w14:textId="77777777" w:rsidR="00B54CFA" w:rsidRDefault="00B54CFA" w:rsidP="005C6FE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realizację przydzielonych zadań, odpowiedzialny, sumienny, odczuwa potrzebę stałego doskonalenia zawodowego.</w:t>
            </w:r>
          </w:p>
        </w:tc>
      </w:tr>
      <w:tr w:rsidR="00B54CFA" w14:paraId="6A9FF8CA" w14:textId="77777777" w:rsidTr="00B54CFA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480977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B54CFA" w14:paraId="521498C6" w14:textId="77777777" w:rsidTr="00B54CFA">
        <w:trPr>
          <w:trHeight w:val="1282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6184011" w14:textId="452F11F3" w:rsidR="00B54CFA" w:rsidRDefault="00BB5A25" w:rsidP="00932762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L. Morawski, </w:t>
            </w:r>
            <w:r w:rsidR="00B54CF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Wstęp do prawoznawstwa,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 Dom Organizatora</w:t>
            </w:r>
            <w:r w:rsidR="00B54CF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Toruń 200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</w:t>
            </w:r>
            <w:r w:rsidR="009A013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0DE94E0E" w14:textId="77777777" w:rsidR="00B54CFA" w:rsidRDefault="009A0136" w:rsidP="00932762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Z. Muras, Podstawy prawa, Wydawnictwo C.H. Beck, Warszawa 2011.</w:t>
            </w:r>
          </w:p>
          <w:p w14:paraId="100BD91E" w14:textId="77777777" w:rsidR="009A0136" w:rsidRDefault="00470414" w:rsidP="00932762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Marek, St. Waltoś, Podstawy prawa i procesu karnego, Wydawnictwo Prawnicze LexisNexis, Warszawa 2008.</w:t>
            </w:r>
          </w:p>
          <w:p w14:paraId="72CD4B1A" w14:textId="77777777" w:rsidR="00932762" w:rsidRPr="00500CF7" w:rsidRDefault="00932762" w:rsidP="00932762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00C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Marek, A. Marek ‒ Ossowska, Prawo wykroczeń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(</w:t>
            </w:r>
            <w:r w:rsidRPr="00500C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materialne i procesowe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)</w:t>
            </w:r>
            <w:r w:rsidRPr="00500C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Wydawnictwo C. H. Beck. Warszawa </w:t>
            </w:r>
            <w:r w:rsidRPr="00500CF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23.</w:t>
            </w:r>
          </w:p>
          <w:p w14:paraId="64643383" w14:textId="77777777" w:rsidR="00470414" w:rsidRDefault="00A568CF" w:rsidP="00932762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L. Gardocki, Prawo karne, Wydawnictwo C.H. Beck, Warszawa 2023.</w:t>
            </w:r>
          </w:p>
          <w:p w14:paraId="64F2CFA3" w14:textId="54653D50" w:rsidR="00A568CF" w:rsidRPr="00316E97" w:rsidRDefault="00A568CF" w:rsidP="00932762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Grześkowiak, K. Wiak, Prawo karne, Wydawnictwo C.H. Beck, Warszawa 2023.</w:t>
            </w:r>
          </w:p>
        </w:tc>
      </w:tr>
      <w:tr w:rsidR="00B54CFA" w14:paraId="593C4F09" w14:textId="77777777" w:rsidTr="00B54CFA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B35C7BB" w14:textId="77777777" w:rsidR="00B54CFA" w:rsidRDefault="00B54CF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B54CFA" w14:paraId="4984CDA6" w14:textId="77777777" w:rsidTr="00B54CFA">
        <w:trPr>
          <w:trHeight w:val="653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tbl>
            <w:tblPr>
              <w:tblW w:w="11184" w:type="dxa"/>
              <w:jc w:val="center"/>
              <w:tblBorders>
                <w:top w:val="single" w:sz="12" w:space="0" w:color="00000A"/>
                <w:left w:val="single" w:sz="12" w:space="0" w:color="00000A"/>
                <w:bottom w:val="single" w:sz="6" w:space="0" w:color="00000A"/>
                <w:right w:val="single" w:sz="6" w:space="0" w:color="00000A"/>
                <w:insideH w:val="single" w:sz="6" w:space="0" w:color="00000A"/>
                <w:insideV w:val="single" w:sz="6" w:space="0" w:color="00000A"/>
              </w:tblBorders>
              <w:tblLayout w:type="fixed"/>
              <w:tblCellMar>
                <w:left w:w="92" w:type="dxa"/>
              </w:tblCellMar>
              <w:tblLook w:val="0000" w:firstRow="0" w:lastRow="0" w:firstColumn="0" w:lastColumn="0" w:noHBand="0" w:noVBand="0"/>
            </w:tblPr>
            <w:tblGrid>
              <w:gridCol w:w="11184"/>
            </w:tblGrid>
            <w:tr w:rsidR="00932762" w:rsidRPr="00470388" w14:paraId="1B70CFFC" w14:textId="77777777" w:rsidTr="007208E0">
              <w:trPr>
                <w:trHeight w:val="653"/>
                <w:jc w:val="center"/>
              </w:trPr>
              <w:tc>
                <w:tcPr>
                  <w:tcW w:w="111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tcMar>
                    <w:left w:w="92" w:type="dxa"/>
                  </w:tcMar>
                  <w:vAlign w:val="center"/>
                </w:tcPr>
                <w:p w14:paraId="3E9F2FBD" w14:textId="4FDF7176" w:rsidR="00932762" w:rsidRDefault="00932762" w:rsidP="00932762">
                  <w:pPr>
                    <w:pStyle w:val="Akapitzlist"/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ind w:left="321" w:hanging="322"/>
                    <w:outlineLvl w:val="0"/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  <w:t>(red.) A. Grześkowiak, K. Wiak, Kodeks karny – komentarz, Wydawnictwo C.H. Beck, Warszawa 2</w:t>
                  </w:r>
                  <w:r w:rsidR="00670AAC"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  <w:t>024</w:t>
                  </w:r>
                  <w:r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  <w:t>.</w:t>
                  </w:r>
                </w:p>
                <w:p w14:paraId="42EBF334" w14:textId="77777777" w:rsidR="00932762" w:rsidRDefault="00932762" w:rsidP="00932762">
                  <w:pPr>
                    <w:pStyle w:val="Akapitzlist"/>
                    <w:numPr>
                      <w:ilvl w:val="0"/>
                      <w:numId w:val="6"/>
                    </w:numPr>
                    <w:suppressAutoHyphens/>
                    <w:spacing w:after="0" w:line="240" w:lineRule="auto"/>
                    <w:ind w:left="321" w:hanging="322"/>
                    <w:outlineLvl w:val="0"/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  <w:t>(red.) P. Daniluk, Kodeks wykroczeń – komentarz, Wydawnictwo C.H. Beck, Warszawa 2023.</w:t>
                  </w:r>
                </w:p>
                <w:p w14:paraId="0804BFD5" w14:textId="74D69E98" w:rsidR="00932762" w:rsidRPr="0094015E" w:rsidRDefault="0094015E" w:rsidP="0094015E">
                  <w:pPr>
                    <w:suppressAutoHyphens/>
                    <w:spacing w:after="0" w:line="240" w:lineRule="auto"/>
                    <w:outlineLvl w:val="0"/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  <w:t xml:space="preserve">3.   </w:t>
                  </w:r>
                  <w:r w:rsidR="00932762" w:rsidRPr="0094015E"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  <w:t>(red. naukowa) J. Lachowski, Kodeks wykroczeń - komentarz, Wolters Kluwer, Warszawa 2021.</w:t>
                  </w:r>
                </w:p>
                <w:p w14:paraId="6DBD8A55" w14:textId="2268203A" w:rsidR="0094015E" w:rsidRPr="0094015E" w:rsidRDefault="0094015E" w:rsidP="0094015E">
                  <w:pPr>
                    <w:suppressAutoHyphens/>
                    <w:spacing w:after="0" w:line="240" w:lineRule="auto"/>
                    <w:outlineLvl w:val="0"/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Times New Roman" w:eastAsia="SimSun" w:hAnsi="Times New Roman" w:cs="Times New Roman"/>
                      <w:color w:val="000000" w:themeColor="text1"/>
                      <w:kern w:val="2"/>
                      <w:sz w:val="20"/>
                      <w:szCs w:val="20"/>
                      <w:lang w:eastAsia="zh-CN"/>
                    </w:rPr>
                    <w:t>4.   (red.naukowa) V. Konarska-Wrzosek, Kodeks karny – komentarz, Wolters Kluwer, Warszawa 2023.</w:t>
                  </w:r>
                </w:p>
              </w:tc>
            </w:tr>
          </w:tbl>
          <w:p w14:paraId="1683634A" w14:textId="191AAA1E" w:rsidR="00B54CFA" w:rsidRPr="00932762" w:rsidRDefault="00B54CFA" w:rsidP="00932762">
            <w:pPr>
              <w:pStyle w:val="Akapitzlist"/>
              <w:suppressAutoHyphens/>
              <w:spacing w:after="0" w:line="240" w:lineRule="auto"/>
              <w:ind w:left="31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B54CFA" w14:paraId="488C43A7" w14:textId="77777777" w:rsidTr="00B54CFA">
        <w:trPr>
          <w:trHeight w:val="330"/>
          <w:jc w:val="center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222E3" w14:textId="77777777" w:rsidR="00B54CFA" w:rsidRDefault="00B54C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1202D" w14:textId="77777777" w:rsidR="00B54CFA" w:rsidRDefault="00B54C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B54CFA" w14:paraId="598A3557" w14:textId="77777777" w:rsidTr="00B54CFA">
        <w:trPr>
          <w:trHeight w:val="304"/>
          <w:jc w:val="center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C2753" w14:textId="77777777" w:rsidR="00B54CFA" w:rsidRDefault="00B54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D63D6" w14:textId="77777777" w:rsidR="00B54CFA" w:rsidRDefault="00B54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BC38F" w14:textId="77777777" w:rsidR="00B54CFA" w:rsidRDefault="00B54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B54CFA" w14:paraId="3725F294" w14:textId="77777777" w:rsidTr="00B54CFA">
        <w:trPr>
          <w:jc w:val="center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D3621" w14:textId="77777777" w:rsidR="00B54CFA" w:rsidRDefault="00B54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25C91" w14:textId="2EB3DF4E" w:rsidR="00B54CFA" w:rsidRDefault="009969CF">
            <w:pPr>
              <w:spacing w:after="0" w:line="240" w:lineRule="auto"/>
              <w:ind w:left="21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B54CFA" w14:paraId="51AC1877" w14:textId="77777777" w:rsidTr="00B54CFA">
        <w:trPr>
          <w:trHeight w:val="227"/>
          <w:jc w:val="center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7F1AE" w14:textId="77777777" w:rsidR="00B54CFA" w:rsidRDefault="00B54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F78DB" w14:textId="160415D9" w:rsidR="00B54CFA" w:rsidRDefault="009969CF" w:rsidP="009969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2</w:t>
            </w:r>
          </w:p>
        </w:tc>
      </w:tr>
    </w:tbl>
    <w:p w14:paraId="52335BD4" w14:textId="77777777" w:rsidR="00B54CFA" w:rsidRDefault="00B54CFA" w:rsidP="00B54CFA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*odniesienie do kierunkowego efektu uczenia się; ** kolejne numery przedmiotowego/szczegółowego efektu uczenia się </w:t>
      </w:r>
    </w:p>
    <w:p w14:paraId="242CC5DC" w14:textId="77777777" w:rsidR="00916FC2" w:rsidRDefault="00916FC2"/>
    <w:sectPr w:rsidR="00916F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64342" w14:textId="77777777" w:rsidR="0096181F" w:rsidRDefault="0096181F" w:rsidP="00B54CFA">
      <w:pPr>
        <w:spacing w:after="0" w:line="240" w:lineRule="auto"/>
      </w:pPr>
      <w:r>
        <w:separator/>
      </w:r>
    </w:p>
  </w:endnote>
  <w:endnote w:type="continuationSeparator" w:id="0">
    <w:p w14:paraId="030FE2E4" w14:textId="77777777" w:rsidR="0096181F" w:rsidRDefault="0096181F" w:rsidP="00B54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AC560" w14:textId="77777777" w:rsidR="00B54CFA" w:rsidRDefault="00B54C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FCF02" w14:textId="77777777" w:rsidR="00B54CFA" w:rsidRDefault="00B54C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D30AF" w14:textId="77777777" w:rsidR="00B54CFA" w:rsidRDefault="00B54C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2C25E" w14:textId="77777777" w:rsidR="0096181F" w:rsidRDefault="0096181F" w:rsidP="00B54CFA">
      <w:pPr>
        <w:spacing w:after="0" w:line="240" w:lineRule="auto"/>
      </w:pPr>
      <w:r>
        <w:separator/>
      </w:r>
    </w:p>
  </w:footnote>
  <w:footnote w:type="continuationSeparator" w:id="0">
    <w:p w14:paraId="6D34A985" w14:textId="77777777" w:rsidR="0096181F" w:rsidRDefault="0096181F" w:rsidP="00B54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B6AA7" w14:textId="77777777" w:rsidR="00B54CFA" w:rsidRDefault="00B54C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0F4BB" w14:textId="77777777" w:rsidR="00B54CFA" w:rsidRDefault="00B54CFA" w:rsidP="00B54CFA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4C99EE5" w14:textId="77777777" w:rsidR="00B54CFA" w:rsidRDefault="00B54CFA" w:rsidP="00B54CFA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55E1A5DC" w14:textId="77777777" w:rsidR="00B54CFA" w:rsidRDefault="00B54CFA" w:rsidP="00B54CFA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CA4CDA0" w14:textId="77777777" w:rsidR="00B54CFA" w:rsidRDefault="00B54CFA" w:rsidP="00B54CFA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697151C2" w14:textId="792B474B" w:rsidR="00B54CFA" w:rsidRDefault="00B54CFA" w:rsidP="00B54CFA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>
      <w:rPr>
        <w:rFonts w:ascii="Times New Roman" w:eastAsia="Times New Roman" w:hAnsi="Times New Roman" w:cs="Times New Roman"/>
        <w:b/>
        <w:bCs/>
        <w:lang w:eastAsia="pl-PL"/>
      </w:rPr>
      <w:t>rok akademicki 2024/2025</w:t>
    </w:r>
  </w:p>
  <w:p w14:paraId="19BD2B30" w14:textId="77777777" w:rsidR="00B54CFA" w:rsidRDefault="00B54C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F0074" w14:textId="77777777" w:rsidR="00B54CFA" w:rsidRDefault="00B54C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2512F"/>
    <w:multiLevelType w:val="hybridMultilevel"/>
    <w:tmpl w:val="28349A08"/>
    <w:lvl w:ilvl="0" w:tplc="FFFFFFFF">
      <w:start w:val="1"/>
      <w:numFmt w:val="decimal"/>
      <w:lvlText w:val="%1."/>
      <w:lvlJc w:val="left"/>
      <w:pPr>
        <w:ind w:left="1068" w:hanging="708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908D0"/>
    <w:multiLevelType w:val="hybridMultilevel"/>
    <w:tmpl w:val="FD7E8B06"/>
    <w:lvl w:ilvl="0" w:tplc="FFFFFFFF">
      <w:start w:val="1"/>
      <w:numFmt w:val="decimal"/>
      <w:lvlText w:val="%1."/>
      <w:lvlJc w:val="left"/>
      <w:pPr>
        <w:ind w:left="1068" w:hanging="708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pPr>
        <w:ind w:left="0" w:firstLine="0"/>
      </w:pPr>
      <w:rPr>
        <w:rFonts w:ascii="Walbaum Display Light" w:hAnsi="Walbaum Display Light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623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127434">
    <w:abstractNumId w:val="3"/>
  </w:num>
  <w:num w:numId="3" w16cid:durableId="1174808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69245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57800">
    <w:abstractNumId w:val="0"/>
  </w:num>
  <w:num w:numId="6" w16cid:durableId="1231887349">
    <w:abstractNumId w:val="2"/>
  </w:num>
  <w:num w:numId="7" w16cid:durableId="980308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FA"/>
    <w:rsid w:val="00087DFA"/>
    <w:rsid w:val="00316E97"/>
    <w:rsid w:val="00470414"/>
    <w:rsid w:val="00670AAC"/>
    <w:rsid w:val="0067465A"/>
    <w:rsid w:val="006D629C"/>
    <w:rsid w:val="00784F4D"/>
    <w:rsid w:val="007D2A5F"/>
    <w:rsid w:val="00916FC2"/>
    <w:rsid w:val="00932762"/>
    <w:rsid w:val="0094015E"/>
    <w:rsid w:val="0096181F"/>
    <w:rsid w:val="009829A3"/>
    <w:rsid w:val="009969CF"/>
    <w:rsid w:val="009A0136"/>
    <w:rsid w:val="009E4E0E"/>
    <w:rsid w:val="00A01DFA"/>
    <w:rsid w:val="00A568CF"/>
    <w:rsid w:val="00A707B0"/>
    <w:rsid w:val="00B54CFA"/>
    <w:rsid w:val="00BB5A25"/>
    <w:rsid w:val="00D73C67"/>
    <w:rsid w:val="00D8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9182EB"/>
  <w15:chartTrackingRefBased/>
  <w15:docId w15:val="{315B9EEF-B002-4D1E-B973-22A3D2E7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CFA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4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C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C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C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C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C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C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C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C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C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C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CF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54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CF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4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CF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1329</Words>
  <Characters>7980</Characters>
  <Application>Microsoft Office Word</Application>
  <DocSecurity>0</DocSecurity>
  <Lines>66</Lines>
  <Paragraphs>18</Paragraphs>
  <ScaleCrop>false</ScaleCrop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Suski</dc:creator>
  <cp:keywords/>
  <dc:description/>
  <cp:lastModifiedBy>Marcin Szymański</cp:lastModifiedBy>
  <cp:revision>3</cp:revision>
  <dcterms:created xsi:type="dcterms:W3CDTF">2025-02-19T10:41:00Z</dcterms:created>
  <dcterms:modified xsi:type="dcterms:W3CDTF">2025-07-11T06:40:00Z</dcterms:modified>
</cp:coreProperties>
</file>