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0201CFED" w:rsidR="00114B2C" w:rsidRPr="0069385A" w:rsidRDefault="002B318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SYSTEM OCHRONY PRAWNEJ U</w:t>
            </w:r>
            <w:r w:rsidR="0051460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NII EUROPEJSKIEJ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03861B57" w:rsidR="00114B2C" w:rsidRPr="0069385A" w:rsidRDefault="00C7034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6BF47E03" w:rsidR="00AC17ED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iestacjonarne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4680C177" w:rsidR="00E31C36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4FDB4E3B" w:rsidR="00E31C36" w:rsidRPr="0069385A" w:rsidRDefault="00F7463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 (do wyboru)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5FDCA293" w:rsidR="00AC17ED" w:rsidRPr="0069385A" w:rsidRDefault="00F7463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0A15A77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tudia </w:t>
            </w:r>
            <w:r w:rsidR="00D158F2" w:rsidRPr="00D158F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II-go stopnia, sem</w:t>
            </w:r>
            <w:r w:rsidR="00983C7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  <w:r w:rsidR="00D158F2" w:rsidRPr="00D158F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I</w:t>
            </w:r>
            <w:r w:rsidR="00B74AD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V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71138">
        <w:trPr>
          <w:gridAfter w:val="2"/>
          <w:wAfter w:w="40" w:type="dxa"/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971138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47C6CD79" w:rsidR="00ED7B60" w:rsidRPr="0069385A" w:rsidRDefault="00F7463C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7777777" w:rsidR="00ED7B60" w:rsidRPr="0069385A" w:rsidRDefault="00ED7B60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2B44BC74" w:rsidR="00ED7B60" w:rsidRPr="0069385A" w:rsidRDefault="00F7463C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971138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60434FD0" w:rsidR="00ED7B60" w:rsidRPr="0069385A" w:rsidRDefault="00F7463C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F746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971138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D73C5FC" w14:textId="17E7C709" w:rsidR="009D534D" w:rsidRPr="00971138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7113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7777777" w:rsidR="009D534D" w:rsidRPr="00F7463C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971138" w:rsidRPr="00114B2C" w14:paraId="2D41802E" w14:textId="674A30D3" w:rsidTr="00971138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B2130D0" w14:textId="7EFCB505" w:rsidR="00971138" w:rsidRPr="00971138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7113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B7683F" w14:textId="77777777" w:rsidR="00971138" w:rsidRDefault="00971138" w:rsidP="0097113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B1D88">
              <w:rPr>
                <w:sz w:val="20"/>
                <w:szCs w:val="20"/>
              </w:rPr>
              <w:t>Zapoznanie studenta z</w:t>
            </w:r>
            <w:r>
              <w:rPr>
                <w:sz w:val="20"/>
                <w:szCs w:val="20"/>
              </w:rPr>
              <w:t>:</w:t>
            </w:r>
          </w:p>
          <w:p w14:paraId="022721F1" w14:textId="77777777" w:rsidR="00971138" w:rsidRDefault="00971138" w:rsidP="0097113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B1D88">
              <w:rPr>
                <w:sz w:val="20"/>
                <w:szCs w:val="20"/>
              </w:rPr>
              <w:t xml:space="preserve"> systemem sądowniczym obowiązującym w UE</w:t>
            </w:r>
            <w:r>
              <w:rPr>
                <w:sz w:val="20"/>
                <w:szCs w:val="20"/>
              </w:rPr>
              <w:t>,</w:t>
            </w:r>
          </w:p>
          <w:p w14:paraId="324DC0FD" w14:textId="77777777" w:rsidR="00971138" w:rsidRDefault="00971138" w:rsidP="0097113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B1D88">
              <w:rPr>
                <w:sz w:val="20"/>
                <w:szCs w:val="20"/>
              </w:rPr>
              <w:t>pozasądowymi możliwościami ochrony swoich praw w U</w:t>
            </w:r>
            <w:r>
              <w:rPr>
                <w:sz w:val="20"/>
                <w:szCs w:val="20"/>
              </w:rPr>
              <w:t>E,</w:t>
            </w:r>
          </w:p>
          <w:p w14:paraId="24400DF5" w14:textId="6BF18AB8" w:rsidR="00971138" w:rsidRPr="00F7463C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B1D88">
              <w:rPr>
                <w:sz w:val="20"/>
                <w:szCs w:val="20"/>
              </w:rPr>
              <w:t>możliwościami dochodzenia swoich praw przed sądami unijnymi</w:t>
            </w:r>
          </w:p>
        </w:tc>
      </w:tr>
      <w:tr w:rsidR="00971138" w:rsidRPr="00114B2C" w14:paraId="6E7F1282" w14:textId="01D4290F" w:rsidTr="00971138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78A3473B" w14:textId="37CAF9DD" w:rsidR="00971138" w:rsidRPr="00971138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7113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C639966" w:rsidR="00971138" w:rsidRPr="00F7463C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D43352">
              <w:rPr>
                <w:rFonts w:ascii="Times New Roman" w:hAnsi="Times New Roman" w:cs="Times New Roman"/>
              </w:rPr>
              <w:t>analiza tekstów , wykład konwersatoryjny, analiza przypadków</w:t>
            </w:r>
          </w:p>
        </w:tc>
      </w:tr>
      <w:tr w:rsidR="00971138" w:rsidRPr="00114B2C" w14:paraId="27E36E50" w14:textId="45E6045B" w:rsidTr="00971138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0643A466" w14:textId="775ACF45" w:rsidR="00971138" w:rsidRPr="00971138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71138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0400AEE8" w:rsidR="00971138" w:rsidRPr="00F7463C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highlight w:val="yellow"/>
                <w:lang w:eastAsia="zh-CN"/>
              </w:rPr>
            </w:pPr>
            <w:r w:rsidRPr="00D4335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akty prawne</w:t>
            </w:r>
          </w:p>
        </w:tc>
      </w:tr>
      <w:tr w:rsidR="00971138" w:rsidRPr="00114B2C" w14:paraId="76097D58" w14:textId="77777777" w:rsidTr="00971138">
        <w:trPr>
          <w:gridAfter w:val="1"/>
          <w:wAfter w:w="2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971138" w:rsidRPr="001974C2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971138" w:rsidRPr="00114B2C" w14:paraId="11EE011E" w14:textId="77777777" w:rsidTr="00971138">
        <w:trPr>
          <w:gridAfter w:val="1"/>
          <w:wAfter w:w="25" w:type="dxa"/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971138" w:rsidRPr="001974C2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944FF2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P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971138" w:rsidRPr="00342499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5DFF120" w:rsidR="00971138" w:rsidRPr="00342499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podstawowe kategorie (instytucje) prawne, w tym w zakresie prawa administracyjnego, ich struktury, zasady działania oraz podstawowe relacje występujące pomiędzy nimi, również na gruncie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5551A848" w:rsidR="00971138" w:rsidRPr="00613385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971138" w:rsidRPr="00114B2C" w14:paraId="309ED71E" w14:textId="77777777" w:rsidTr="00971138">
        <w:trPr>
          <w:gridAfter w:val="1"/>
          <w:wAfter w:w="25" w:type="dxa"/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971138" w:rsidRPr="001974C2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8F9F304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C2B156" w:rsidR="00971138" w:rsidRPr="0069385A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służące interpretacji przepisów 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38C89D87" w:rsidR="00971138" w:rsidRPr="00613385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 aktywność na zajęciach</w:t>
            </w:r>
          </w:p>
        </w:tc>
      </w:tr>
      <w:tr w:rsidR="00971138" w:rsidRPr="00114B2C" w14:paraId="0A3A90B0" w14:textId="77777777" w:rsidTr="00971138">
        <w:trPr>
          <w:gridAfter w:val="1"/>
          <w:wAfter w:w="2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971138" w:rsidRPr="001974C2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83B00D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2E28E33" w:rsidR="00971138" w:rsidRPr="0069385A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(tj. z wykorzystaniem właściwych metod i narzędzi) prognoz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możliwe skutki związane z podejmowaniem różnego rodzaju decyzji (np. legislacyjnych) przez podmioty administracji, również na szczeblu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36618815" w:rsidR="00971138" w:rsidRPr="00613385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971138" w:rsidRPr="00114B2C" w14:paraId="52B864CF" w14:textId="77777777" w:rsidTr="00971138">
        <w:trPr>
          <w:gridAfter w:val="1"/>
          <w:wAfter w:w="2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971138" w:rsidRPr="001974C2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D191AD0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46C0AC9" w:rsidR="00971138" w:rsidRPr="00342499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analizować i interpretować przyczyny oraz przebieg procesów i zjawisk społecznych, prawnych i ekonomicznych związanych z funkcjonowaniem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323FD938" w:rsidR="00971138" w:rsidRPr="00613385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971138" w:rsidRPr="00114B2C" w14:paraId="27AB0A14" w14:textId="77777777" w:rsidTr="00971138">
        <w:trPr>
          <w:gridAfter w:val="1"/>
          <w:wAfter w:w="25" w:type="dxa"/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971138" w:rsidRPr="001974C2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E352091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F389B8D" w:rsidR="00971138" w:rsidRPr="0069385A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krytycznej oceny swojej wiedzy i umiejętności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67AD4007" w:rsidR="00971138" w:rsidRPr="0069385A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971138" w:rsidRPr="00114B2C" w14:paraId="6EAD9E47" w14:textId="77777777" w:rsidTr="00971138">
        <w:trPr>
          <w:gridAfter w:val="1"/>
          <w:wAfter w:w="25" w:type="dxa"/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971138" w:rsidRPr="001974C2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D9BEF28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971138" w:rsidRPr="00CD3E7B" w:rsidRDefault="00971138" w:rsidP="0097113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20567EF" w:rsidR="00971138" w:rsidRPr="0069385A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wypełniania zobowiązań społecznych  i inicjowania działań na rzecz interesu publicznego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417D7F16" w:rsidR="00971138" w:rsidRPr="0069385A" w:rsidRDefault="00971138" w:rsidP="0097113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prezentacja, 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aktywność na zajęciach</w:t>
            </w:r>
          </w:p>
        </w:tc>
      </w:tr>
      <w:tr w:rsidR="00971138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69C1B358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C6133B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Liczba godzin</w:t>
            </w:r>
          </w:p>
        </w:tc>
      </w:tr>
      <w:tr w:rsidR="00971138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A5A9EE9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971138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80" w:firstRow="0" w:lastRow="0" w:firstColumn="1" w:lastColumn="0" w:noHBand="0" w:noVBand="1"/>
            </w:tblPr>
            <w:tblGrid>
              <w:gridCol w:w="10349"/>
            </w:tblGrid>
            <w:tr w:rsidR="00971138" w:rsidRPr="00613385" w14:paraId="28F6B493" w14:textId="77777777" w:rsidTr="0026491C">
              <w:trPr>
                <w:trHeight w:val="387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BED482E" w14:textId="0ABA63DC" w:rsidR="00971138" w:rsidRPr="001501E8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01E8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System prawny UE. Zasada kompetencji powierzonych</w:t>
                  </w:r>
                </w:p>
              </w:tc>
            </w:tr>
            <w:tr w:rsidR="00971138" w:rsidRPr="00613385" w14:paraId="3AA2C582" w14:textId="77777777" w:rsidTr="0026491C">
              <w:trPr>
                <w:trHeight w:val="40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B7A3728" w14:textId="14AD6989" w:rsidR="00971138" w:rsidRPr="001501E8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1501E8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Prawa podstawowe w UE. Rzecznik Praw Obywatelskich UE</w:t>
                  </w:r>
                </w:p>
              </w:tc>
            </w:tr>
            <w:tr w:rsidR="00971138" w:rsidRPr="00613385" w14:paraId="73B81FB0" w14:textId="77777777" w:rsidTr="0026491C">
              <w:trPr>
                <w:trHeight w:val="426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17FED1D" w14:textId="4018DFD0" w:rsidR="00971138" w:rsidRPr="003F295A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F295A">
                    <w:rPr>
                      <w:rFonts w:ascii="Times New Roman" w:hAnsi="Times New Roman"/>
                      <w:sz w:val="20"/>
                      <w:szCs w:val="20"/>
                    </w:rPr>
                    <w:t>Ochrona praw podstawowych w UE. Rodzaje naruszeń, wyłączenie odpowiedzialności</w:t>
                  </w:r>
                </w:p>
              </w:tc>
            </w:tr>
            <w:tr w:rsidR="00971138" w:rsidRPr="00613385" w14:paraId="3B727511" w14:textId="77777777" w:rsidTr="0026491C">
              <w:trPr>
                <w:trHeight w:val="461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7B5A57CA" w14:textId="48241F82" w:rsidR="00971138" w:rsidRPr="008F5246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F5246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Procedura ochrony prawnej przed Komisją Europejską</w:t>
                  </w:r>
                </w:p>
                <w:p w14:paraId="79A49EF1" w14:textId="53E6D678" w:rsidR="00971138" w:rsidRPr="00613385" w:rsidRDefault="00971138" w:rsidP="00971138">
                  <w:pPr>
                    <w:pStyle w:val="Akapitzlist"/>
                    <w:spacing w:after="0" w:line="240" w:lineRule="auto"/>
                    <w:ind w:left="501"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71138" w:rsidRPr="00613385" w14:paraId="321C49B6" w14:textId="77777777" w:rsidTr="0026491C">
              <w:trPr>
                <w:trHeight w:val="47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101EE36" w14:textId="2964BFD4" w:rsidR="00971138" w:rsidRPr="00DA51BD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A51BD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System sądowniczy UE. Struktura i kompetencje Trybunału Sprawiedliwości i Sądu</w:t>
                  </w:r>
                </w:p>
              </w:tc>
            </w:tr>
            <w:tr w:rsidR="00971138" w:rsidRPr="00613385" w14:paraId="1C9BF225" w14:textId="77777777" w:rsidTr="0026491C">
              <w:trPr>
                <w:trHeight w:val="38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2449886" w14:textId="243967FD" w:rsidR="00971138" w:rsidRPr="00DA51BD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DA51BD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Procedura przed TSUE: (a) pisemna, (b) ustna</w:t>
                  </w:r>
                </w:p>
              </w:tc>
            </w:tr>
            <w:tr w:rsidR="00971138" w:rsidRPr="00613385" w14:paraId="50D6F1BA" w14:textId="77777777" w:rsidTr="0026491C">
              <w:trPr>
                <w:trHeight w:val="41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25A54864" w14:textId="654FDC7C" w:rsidR="00971138" w:rsidRPr="00DA51BD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A51BD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Dochodzenie roszczeń opartych na prawie UE. Relacje między trybunałami: ETPC i TSUE</w:t>
                  </w:r>
                </w:p>
              </w:tc>
            </w:tr>
            <w:tr w:rsidR="00971138" w:rsidRPr="009459B4" w14:paraId="7FB431C8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1045EC2" w14:textId="012012B5" w:rsidR="00971138" w:rsidRPr="00F7463C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en-GB" w:eastAsia="pl-PL"/>
                    </w:rPr>
                  </w:pPr>
                  <w:r w:rsidRPr="00300395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Charakterystyka systemu skargowego w UE. </w:t>
                  </w:r>
                  <w:r w:rsidRPr="00F746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en-GB" w:eastAsia="pl-PL"/>
                    </w:rPr>
                    <w:t xml:space="preserve">Doktryna </w:t>
                  </w:r>
                  <w:r w:rsidRPr="00F7463C">
                    <w:rPr>
                      <w:rFonts w:ascii="Times New Roman" w:eastAsia="Times New Roman" w:hAnsi="Times New Roman"/>
                      <w:bCs/>
                      <w:i/>
                      <w:iCs/>
                      <w:sz w:val="20"/>
                      <w:szCs w:val="20"/>
                      <w:lang w:val="en-GB" w:eastAsia="pl-PL"/>
                    </w:rPr>
                    <w:t>acte claire</w:t>
                  </w:r>
                  <w:r w:rsidRPr="00F7463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val="en-GB" w:eastAsia="pl-PL"/>
                    </w:rPr>
                    <w:t xml:space="preserve"> i </w:t>
                  </w:r>
                  <w:r w:rsidRPr="00F7463C">
                    <w:rPr>
                      <w:rFonts w:ascii="Times New Roman" w:eastAsia="Times New Roman" w:hAnsi="Times New Roman"/>
                      <w:bCs/>
                      <w:i/>
                      <w:iCs/>
                      <w:sz w:val="20"/>
                      <w:szCs w:val="20"/>
                      <w:lang w:val="en-GB" w:eastAsia="pl-PL"/>
                    </w:rPr>
                    <w:t>acte eclaire</w:t>
                  </w:r>
                </w:p>
              </w:tc>
            </w:tr>
            <w:tr w:rsidR="00971138" w:rsidRPr="00613385" w14:paraId="36B175B3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EE6C8C8" w14:textId="1B14F3E1" w:rsidR="00971138" w:rsidRPr="00300395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00395">
                    <w:rPr>
                      <w:rFonts w:ascii="Times New Roman" w:hAnsi="Times New Roman"/>
                      <w:sz w:val="20"/>
                      <w:szCs w:val="20"/>
                    </w:rPr>
                    <w:t>Skarga przeciwko państwu członkowskiemu z tytułu uchybienia zobowiązaniom</w:t>
                  </w:r>
                </w:p>
              </w:tc>
            </w:tr>
            <w:tr w:rsidR="00971138" w:rsidRPr="00613385" w14:paraId="1CC40497" w14:textId="77777777" w:rsidTr="0026491C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50FD3416" w14:textId="2832EC8C" w:rsidR="00971138" w:rsidRPr="00300395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00395">
                    <w:rPr>
                      <w:rFonts w:ascii="Times New Roman" w:hAnsi="Times New Roman"/>
                      <w:sz w:val="20"/>
                      <w:szCs w:val="20"/>
                    </w:rPr>
                    <w:t>Skarga o stwierdzenie nieważności aktu prawnego Unii</w:t>
                  </w:r>
                </w:p>
              </w:tc>
            </w:tr>
            <w:tr w:rsidR="00971138" w:rsidRPr="00613385" w14:paraId="7EAC91C3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26F0CB1B" w14:textId="709A08E4" w:rsidR="00971138" w:rsidRPr="00300395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0039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Skarga na bezczynność instytucji unijnych</w:t>
                  </w:r>
                </w:p>
              </w:tc>
            </w:tr>
            <w:tr w:rsidR="00971138" w:rsidRPr="00613385" w14:paraId="497A24EA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D60E691" w14:textId="7180429D" w:rsidR="00971138" w:rsidRPr="00300395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0039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Odpowiedzialność odszkodowawcza UE. Skarga odszkodowawcza przeciwko Unii</w:t>
                  </w:r>
                </w:p>
              </w:tc>
            </w:tr>
            <w:tr w:rsidR="00971138" w:rsidRPr="00613385" w14:paraId="4F7E5704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6DE6EF7C" w14:textId="0D98C4A6" w:rsidR="00971138" w:rsidRPr="00300395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0039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Pytania prejudycjalne sadów krajowych. Podział kompetencji między sądy krajowe a TSUE</w:t>
                  </w:r>
                </w:p>
              </w:tc>
            </w:tr>
            <w:tr w:rsidR="00971138" w:rsidRPr="00613385" w14:paraId="078B6425" w14:textId="77777777" w:rsidTr="0026491C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CDD0EBE" w14:textId="41B19CD5" w:rsidR="00971138" w:rsidRPr="00300395" w:rsidRDefault="00971138" w:rsidP="00971138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0039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Postępowanie w sprawie opinii o zgodności przewidywanej umowy międzynarodowej z Traktatami</w:t>
                  </w:r>
                </w:p>
              </w:tc>
            </w:tr>
          </w:tbl>
          <w:p w14:paraId="5F3EA97F" w14:textId="77777777" w:rsidR="00971138" w:rsidRPr="00613385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102"/>
            </w:tblGrid>
            <w:tr w:rsidR="00971138" w14:paraId="150A04DB" w14:textId="77777777" w:rsidTr="00613385">
              <w:tc>
                <w:tcPr>
                  <w:tcW w:w="2102" w:type="dxa"/>
                </w:tcPr>
                <w:p w14:paraId="16949A73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lastRenderedPageBreak/>
                    <w:t>2</w:t>
                  </w:r>
                </w:p>
                <w:p w14:paraId="55F437B5" w14:textId="2ADA5C08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2351927E" w14:textId="77777777" w:rsidTr="00613385">
              <w:tc>
                <w:tcPr>
                  <w:tcW w:w="2102" w:type="dxa"/>
                </w:tcPr>
                <w:p w14:paraId="651DACF6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  <w:p w14:paraId="3C6900D4" w14:textId="16097959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0C34B5DE" w14:textId="77777777" w:rsidTr="00613385">
              <w:tc>
                <w:tcPr>
                  <w:tcW w:w="2102" w:type="dxa"/>
                </w:tcPr>
                <w:p w14:paraId="0CD11915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  <w:p w14:paraId="0B6DBE93" w14:textId="3E8150F4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58164C9B" w14:textId="77777777" w:rsidTr="00613385">
              <w:tc>
                <w:tcPr>
                  <w:tcW w:w="2102" w:type="dxa"/>
                </w:tcPr>
                <w:p w14:paraId="29A12737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  <w:p w14:paraId="5D31BC6B" w14:textId="4CBC0423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2744A226" w14:textId="77777777" w:rsidTr="00613385">
              <w:tc>
                <w:tcPr>
                  <w:tcW w:w="2102" w:type="dxa"/>
                </w:tcPr>
                <w:p w14:paraId="61CF9BC7" w14:textId="1AF8120C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  <w:p w14:paraId="6A85BA30" w14:textId="74980971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0DAB5784" w14:textId="77777777" w:rsidTr="00613385">
              <w:tc>
                <w:tcPr>
                  <w:tcW w:w="2102" w:type="dxa"/>
                </w:tcPr>
                <w:p w14:paraId="4530A6D0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  <w:p w14:paraId="0F0D5610" w14:textId="645069DD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6DD6F5A5" w14:textId="77777777" w:rsidTr="00613385">
              <w:tc>
                <w:tcPr>
                  <w:tcW w:w="2102" w:type="dxa"/>
                </w:tcPr>
                <w:p w14:paraId="0149232C" w14:textId="30DCCAAC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lastRenderedPageBreak/>
                    <w:t>2</w:t>
                  </w:r>
                </w:p>
              </w:tc>
            </w:tr>
            <w:tr w:rsidR="00971138" w14:paraId="4B77E9D5" w14:textId="77777777" w:rsidTr="00613385">
              <w:tc>
                <w:tcPr>
                  <w:tcW w:w="2102" w:type="dxa"/>
                </w:tcPr>
                <w:p w14:paraId="4F9DA34C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  <w:p w14:paraId="6A9AB0A7" w14:textId="2211C02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971138" w14:paraId="3FCD0BFD" w14:textId="77777777" w:rsidTr="00613385">
              <w:tc>
                <w:tcPr>
                  <w:tcW w:w="2102" w:type="dxa"/>
                </w:tcPr>
                <w:p w14:paraId="5252712F" w14:textId="2CD98C01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</w:tc>
            </w:tr>
            <w:tr w:rsidR="00971138" w14:paraId="33A6318D" w14:textId="77777777" w:rsidTr="00613385">
              <w:tc>
                <w:tcPr>
                  <w:tcW w:w="2102" w:type="dxa"/>
                </w:tcPr>
                <w:p w14:paraId="3CAE9CDB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  <w:p w14:paraId="3851C2AD" w14:textId="2114F959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</w:tc>
            </w:tr>
            <w:tr w:rsidR="00971138" w14:paraId="50DFB926" w14:textId="77777777" w:rsidTr="00613385">
              <w:tc>
                <w:tcPr>
                  <w:tcW w:w="2102" w:type="dxa"/>
                </w:tcPr>
                <w:p w14:paraId="3231CE8F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  <w:p w14:paraId="09C7CBBD" w14:textId="11C44904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</w:tc>
            </w:tr>
            <w:tr w:rsidR="00971138" w14:paraId="622BFDD9" w14:textId="77777777" w:rsidTr="00613385">
              <w:tc>
                <w:tcPr>
                  <w:tcW w:w="2102" w:type="dxa"/>
                </w:tcPr>
                <w:p w14:paraId="6B2079A9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  <w:p w14:paraId="31CEB614" w14:textId="3BCE0EF4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</w:tc>
            </w:tr>
            <w:tr w:rsidR="00971138" w14:paraId="08AEBA3D" w14:textId="77777777" w:rsidTr="00613385">
              <w:tc>
                <w:tcPr>
                  <w:tcW w:w="2102" w:type="dxa"/>
                </w:tcPr>
                <w:p w14:paraId="00F1987A" w14:textId="77777777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  <w:p w14:paraId="4CB64CD7" w14:textId="57E82C1F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</w:tc>
            </w:tr>
            <w:tr w:rsidR="00971138" w14:paraId="44109FF3" w14:textId="77777777" w:rsidTr="00613385">
              <w:tc>
                <w:tcPr>
                  <w:tcW w:w="2102" w:type="dxa"/>
                </w:tcPr>
                <w:p w14:paraId="322B5961" w14:textId="428825D5" w:rsidR="00971138" w:rsidRDefault="00971138" w:rsidP="00971138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  <w:t>2</w:t>
                  </w:r>
                </w:p>
              </w:tc>
            </w:tr>
          </w:tbl>
          <w:p w14:paraId="7A147BE1" w14:textId="4DF586BC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971138" w:rsidRPr="00114B2C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772D7BF8" w:rsidR="00971138" w:rsidRPr="001974C2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Ćwiczenia/Warsztaty</w:t>
            </w:r>
          </w:p>
        </w:tc>
      </w:tr>
      <w:tr w:rsidR="00971138" w:rsidRPr="00114B2C" w14:paraId="341D3D40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261F5A2E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6D7A2C1C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971138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971138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D5A7C68" w14:textId="77777777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zależności od treści i form zajęć stopień osiągnięcia efektów kształcenia, wyznaczonych jako celowe dla przedmiotu, sprawdza się na podstawie:</w:t>
            </w:r>
          </w:p>
          <w:p w14:paraId="53636BCF" w14:textId="77777777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1) </w:t>
            </w:r>
            <w:bookmarkStart w:id="0" w:name="_Hlk67396005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prac pisemnych przygotowywanych poza zajęciami </w:t>
            </w:r>
            <w:bookmarkEnd w:id="0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(rozpraw, esejów);</w:t>
            </w:r>
          </w:p>
          <w:p w14:paraId="282BCFB9" w14:textId="77777777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2) wystąpień przygotowywanych poza zajęciami, ale prezentowanych w ramach zajęć (prezentacji, referatów);</w:t>
            </w:r>
          </w:p>
          <w:p w14:paraId="33CCB8C9" w14:textId="77777777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3) wypowiedzi ustnych (odpowiedzi na zadane pytania w trakcie zajęć lub egzaminu).</w:t>
            </w:r>
          </w:p>
          <w:p w14:paraId="4FD9C2EC" w14:textId="77777777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Wszystkie te formuły są stosowane zarówno w celu bieżącej kontroli kształcenia, jak i w celu ostatecznej weryfikacji efektów uczenia się w przewidzianych dla przedmiotu ramach zaliczenia.</w:t>
            </w:r>
          </w:p>
          <w:p w14:paraId="7017B1A5" w14:textId="77777777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Wystąpienia przygotowywane poza zajęciami i prezentowane w czasie zajęć (prezentacje, referaty) sprawdza się na podstawie zrozumienia tematu. Zawartość merytoryczna sprawdza się na podstawie poprawnego użycia terminologii, odniesienia do kontekstów, wykorzystania bibliografii, krytycznego wykorzystania źródeł, poprawnego cytowania i stosowania przypisów. </w:t>
            </w:r>
          </w:p>
          <w:p w14:paraId="6A23F25A" w14:textId="01310F09" w:rsidR="00971138" w:rsidRPr="00141EB1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Ocena egzaminów ustnych, wydawana jest na postawie jednorazowego sprawdzenia.</w:t>
            </w:r>
          </w:p>
        </w:tc>
      </w:tr>
      <w:tr w:rsidR="00971138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971138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971138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971138" w:rsidRPr="00430FC0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971138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971138" w:rsidRPr="00077585" w:rsidRDefault="00971138" w:rsidP="00971138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971138" w:rsidRPr="00077585" w:rsidRDefault="00971138" w:rsidP="00971138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971138" w:rsidRPr="00077585" w:rsidRDefault="00971138" w:rsidP="00971138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971138" w:rsidRPr="00077585" w:rsidRDefault="00971138" w:rsidP="00971138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971138" w:rsidRPr="00077585" w:rsidRDefault="00971138" w:rsidP="00971138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971138" w:rsidRPr="00077585" w:rsidRDefault="00971138" w:rsidP="00971138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971138" w:rsidRPr="00077585" w:rsidRDefault="00971138" w:rsidP="00971138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971138" w:rsidRPr="00077585" w:rsidRDefault="00971138" w:rsidP="00971138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971138" w:rsidRPr="00077585" w:rsidRDefault="00971138" w:rsidP="00971138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971138" w:rsidRPr="00077585" w:rsidRDefault="00971138" w:rsidP="00971138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971138" w:rsidRPr="00077585" w:rsidRDefault="00971138" w:rsidP="00971138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971138" w:rsidRPr="00077585" w:rsidRDefault="00971138" w:rsidP="00971138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971138" w:rsidRPr="00077585" w:rsidRDefault="00971138" w:rsidP="00971138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971138" w:rsidRPr="00077585" w:rsidRDefault="00971138" w:rsidP="00971138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971138" w:rsidRPr="00077585" w:rsidRDefault="00971138" w:rsidP="00971138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971138" w:rsidRPr="00077585" w:rsidRDefault="00971138" w:rsidP="00971138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potrzebę stałego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971138" w:rsidRPr="00077585" w:rsidRDefault="00971138" w:rsidP="0097113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971138" w:rsidRPr="00077585" w:rsidRDefault="00971138" w:rsidP="0097113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971138" w:rsidRPr="00077585" w:rsidRDefault="00971138" w:rsidP="0097113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971138" w:rsidRPr="00077585" w:rsidRDefault="00971138" w:rsidP="00971138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przydzielonych zadań, odpowiedzialny,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sumienny, odczuwa potrzebę stałego doskonalenia zawodowego.</w:t>
            </w:r>
          </w:p>
        </w:tc>
      </w:tr>
      <w:tr w:rsidR="00971138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971138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7C7B35" w14:textId="77777777" w:rsidR="00971138" w:rsidRDefault="00971138" w:rsidP="00971138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Wyrozumska (red.), </w:t>
            </w:r>
            <w:r w:rsidRPr="001A6D48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System ochrony prawnej w Unii Europejskiej</w:t>
            </w: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2009 </w:t>
            </w:r>
          </w:p>
          <w:p w14:paraId="7441192C" w14:textId="77777777" w:rsidR="00971138" w:rsidRDefault="00971138" w:rsidP="00971138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Barcz (red.), </w:t>
            </w:r>
            <w:r w:rsidRPr="001A6D48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Ustrój Unii Europejskiej</w:t>
            </w: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2010</w:t>
            </w:r>
          </w:p>
          <w:p w14:paraId="0FE11435" w14:textId="77777777" w:rsidR="00971138" w:rsidRDefault="00971138" w:rsidP="00971138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Barcz (red.), </w:t>
            </w:r>
            <w:r w:rsidRPr="001A6D48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Unii Europejskiej. Zagadnienia systemowe</w:t>
            </w: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2009 </w:t>
            </w:r>
          </w:p>
          <w:p w14:paraId="570304AF" w14:textId="77777777" w:rsidR="00971138" w:rsidRDefault="00971138" w:rsidP="00971138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Galster (red.), </w:t>
            </w:r>
            <w:r w:rsidRPr="001A6D48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Podstawy prawa Unii Europejskiej z uwzględnieniem Traktatu z Lizbony</w:t>
            </w: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Toruń 2010</w:t>
            </w:r>
          </w:p>
          <w:p w14:paraId="422D720A" w14:textId="1E3E42F2" w:rsidR="00971138" w:rsidRPr="001A6D48" w:rsidRDefault="00971138" w:rsidP="00971138">
            <w:pPr>
              <w:pStyle w:val="Akapitzlist"/>
              <w:numPr>
                <w:ilvl w:val="0"/>
                <w:numId w:val="45"/>
              </w:numPr>
              <w:spacing w:line="240" w:lineRule="auto"/>
              <w:ind w:left="36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Barcik, </w:t>
            </w:r>
            <w:r w:rsidRPr="001A6D48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Ochrona praworządności w Radzie Europy i Unii Europejskiej ze szczególnym uwzględnieniem niezależności sądów i niezawisłości sędziów</w:t>
            </w: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2019</w:t>
            </w:r>
          </w:p>
          <w:p w14:paraId="48A69990" w14:textId="77777777" w:rsidR="00971138" w:rsidRDefault="00971138" w:rsidP="00971138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Traktat o Unii Europejskiej oraz Traktat o funkcjonowaniu Unii Europejskiej </w:t>
            </w:r>
          </w:p>
          <w:p w14:paraId="146E9981" w14:textId="3719D0F5" w:rsidR="00971138" w:rsidRPr="001A6D48" w:rsidRDefault="00971138" w:rsidP="00971138">
            <w:pPr>
              <w:pStyle w:val="Akapitzlist"/>
              <w:numPr>
                <w:ilvl w:val="0"/>
                <w:numId w:val="45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A6D48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Statut Trybunału Sprawiedliwości Unii Europejskiej, dołączony do TUE i TFUE w formie protokołu</w:t>
            </w:r>
          </w:p>
        </w:tc>
      </w:tr>
      <w:tr w:rsidR="00971138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71138" w:rsidRDefault="00971138" w:rsidP="00971138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971138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159C8B" w14:textId="77777777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Barcz (red.),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Źródła prawa Unii Europejskiej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Warszawa 2010 </w:t>
            </w:r>
          </w:p>
          <w:p w14:paraId="32307098" w14:textId="2ADCFBDB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H. Bajorek-Ziaja,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Skarga do Europejskiego Trybunału Praw Człowieka oraz skarga do Europejskiego Trybunału Sprawiedliwości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2010</w:t>
            </w:r>
          </w:p>
          <w:p w14:paraId="4FBDBC94" w14:textId="7311C87F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W. Hrynicki,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Skargi, wnioski, petycje i inne interwencje obywatelskie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2022</w:t>
            </w:r>
          </w:p>
          <w:p w14:paraId="65858E37" w14:textId="04C0F566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Łuszczuk, 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Rzecznik Praw Obywateli Unii Europejskiej (Ombudsman UE)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2000</w:t>
            </w:r>
          </w:p>
          <w:p w14:paraId="5E00DDDA" w14:textId="77777777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Galster (red.),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Unia Europejska w dobie przemian ustrojowych. Zagadnienia systemowe i instytucjonalne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Toruń 2013 </w:t>
            </w:r>
          </w:p>
          <w:p w14:paraId="01D270A8" w14:textId="77777777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Barcz (red.),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Ustrój Unii Europejskiej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tom. 2, Warszawa 2011</w:t>
            </w:r>
          </w:p>
          <w:p w14:paraId="42E79E4F" w14:textId="77777777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A. Kuś (red.),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Unii Europejskiej z uwzględnieniem Traktatu z Lizbony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Lublin 2010</w:t>
            </w:r>
          </w:p>
          <w:p w14:paraId="06A4A108" w14:textId="77777777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J. Barcz, Kawecka-Wyrzykowska E., Michałowska-Gorywoda K.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Integracja europejska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2007</w:t>
            </w:r>
          </w:p>
          <w:p w14:paraId="674CCAE4" w14:textId="79C66E34" w:rsidR="0097113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W. Czapliński, R. Ostrihansky, P. Saganek, A. Wyrozumska,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Wspólnot Europejskich. Orzecznictwo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</w:t>
            </w:r>
          </w:p>
          <w:p w14:paraId="189231D0" w14:textId="0EA33B81" w:rsidR="00971138" w:rsidRPr="001A6D48" w:rsidRDefault="00971138" w:rsidP="00971138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Ahlt, M. Szpunar, </w:t>
            </w:r>
            <w:r w:rsidRPr="003776DE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Prawo europejskie</w:t>
            </w:r>
            <w:r w:rsidRPr="003776D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2010</w:t>
            </w:r>
          </w:p>
        </w:tc>
      </w:tr>
      <w:tr w:rsidR="00971138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71138" w:rsidRPr="00726E67" w:rsidRDefault="00971138" w:rsidP="0097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71138" w:rsidRPr="00726E67" w:rsidRDefault="00971138" w:rsidP="0097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971138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971138" w:rsidRPr="00726E67" w:rsidRDefault="00971138" w:rsidP="009711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441F0B46" w:rsidR="00971138" w:rsidRPr="00726E67" w:rsidRDefault="00971138" w:rsidP="009711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</w:t>
            </w:r>
            <w:r w:rsidR="009459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71138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971138" w:rsidRPr="00726E67" w:rsidRDefault="00971138" w:rsidP="009711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2D8142B1" w:rsidR="00971138" w:rsidRPr="00726E67" w:rsidRDefault="009459B4" w:rsidP="0097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971138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971138" w:rsidRPr="00726E67" w:rsidRDefault="00971138" w:rsidP="009711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14DF73D" w:rsidR="00971138" w:rsidRPr="00726E67" w:rsidRDefault="009459B4" w:rsidP="0097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006E1" w14:textId="77777777" w:rsidR="00113A0A" w:rsidRDefault="00113A0A">
      <w:pPr>
        <w:spacing w:after="0" w:line="240" w:lineRule="auto"/>
      </w:pPr>
      <w:r>
        <w:separator/>
      </w:r>
    </w:p>
  </w:endnote>
  <w:endnote w:type="continuationSeparator" w:id="0">
    <w:p w14:paraId="21CCA8F6" w14:textId="77777777" w:rsidR="00113A0A" w:rsidRDefault="0011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9C01A3" w:rsidRDefault="009C01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04861" w14:textId="77777777" w:rsidR="00113A0A" w:rsidRDefault="00113A0A">
      <w:pPr>
        <w:spacing w:after="0" w:line="240" w:lineRule="auto"/>
      </w:pPr>
      <w:r>
        <w:separator/>
      </w:r>
    </w:p>
  </w:footnote>
  <w:footnote w:type="continuationSeparator" w:id="0">
    <w:p w14:paraId="5E92190C" w14:textId="77777777" w:rsidR="00113A0A" w:rsidRDefault="0011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B294F"/>
    <w:multiLevelType w:val="hybridMultilevel"/>
    <w:tmpl w:val="33C8D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1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566CF8"/>
    <w:multiLevelType w:val="hybridMultilevel"/>
    <w:tmpl w:val="4606D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744F9"/>
    <w:multiLevelType w:val="hybridMultilevel"/>
    <w:tmpl w:val="2328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02C23"/>
    <w:multiLevelType w:val="hybridMultilevel"/>
    <w:tmpl w:val="573AD6B2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5A62A09"/>
    <w:multiLevelType w:val="hybridMultilevel"/>
    <w:tmpl w:val="4218E3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855C6C"/>
    <w:multiLevelType w:val="hybridMultilevel"/>
    <w:tmpl w:val="8390B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0586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757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709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954495">
    <w:abstractNumId w:val="22"/>
  </w:num>
  <w:num w:numId="5" w16cid:durableId="813568680">
    <w:abstractNumId w:val="16"/>
  </w:num>
  <w:num w:numId="6" w16cid:durableId="1130634139">
    <w:abstractNumId w:val="1"/>
  </w:num>
  <w:num w:numId="7" w16cid:durableId="12020885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034712">
    <w:abstractNumId w:val="30"/>
  </w:num>
  <w:num w:numId="9" w16cid:durableId="726756824">
    <w:abstractNumId w:val="25"/>
  </w:num>
  <w:num w:numId="10" w16cid:durableId="1502968390">
    <w:abstractNumId w:val="18"/>
  </w:num>
  <w:num w:numId="11" w16cid:durableId="343899106">
    <w:abstractNumId w:val="31"/>
  </w:num>
  <w:num w:numId="12" w16cid:durableId="1573660396">
    <w:abstractNumId w:val="4"/>
  </w:num>
  <w:num w:numId="13" w16cid:durableId="1419981080">
    <w:abstractNumId w:val="29"/>
  </w:num>
  <w:num w:numId="14" w16cid:durableId="170070470">
    <w:abstractNumId w:val="32"/>
  </w:num>
  <w:num w:numId="15" w16cid:durableId="1004749204">
    <w:abstractNumId w:val="20"/>
  </w:num>
  <w:num w:numId="16" w16cid:durableId="1028915849">
    <w:abstractNumId w:val="28"/>
  </w:num>
  <w:num w:numId="17" w16cid:durableId="1066607670">
    <w:abstractNumId w:val="26"/>
  </w:num>
  <w:num w:numId="18" w16cid:durableId="980621600">
    <w:abstractNumId w:val="2"/>
  </w:num>
  <w:num w:numId="19" w16cid:durableId="437994636">
    <w:abstractNumId w:val="10"/>
  </w:num>
  <w:num w:numId="20" w16cid:durableId="9405291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38166">
    <w:abstractNumId w:val="34"/>
  </w:num>
  <w:num w:numId="22" w16cid:durableId="1616405389">
    <w:abstractNumId w:val="14"/>
  </w:num>
  <w:num w:numId="23" w16cid:durableId="1755541692">
    <w:abstractNumId w:val="17"/>
  </w:num>
  <w:num w:numId="24" w16cid:durableId="1045985525">
    <w:abstractNumId w:val="14"/>
    <w:lvlOverride w:ilvl="0">
      <w:startOverride w:val="1"/>
    </w:lvlOverride>
  </w:num>
  <w:num w:numId="25" w16cid:durableId="1058553651">
    <w:abstractNumId w:val="0"/>
  </w:num>
  <w:num w:numId="26" w16cid:durableId="1976789314">
    <w:abstractNumId w:val="33"/>
  </w:num>
  <w:num w:numId="27" w16cid:durableId="1208222525">
    <w:abstractNumId w:val="24"/>
  </w:num>
  <w:num w:numId="28" w16cid:durableId="1042249087">
    <w:abstractNumId w:val="6"/>
  </w:num>
  <w:num w:numId="29" w16cid:durableId="836459621">
    <w:abstractNumId w:val="3"/>
  </w:num>
  <w:num w:numId="30" w16cid:durableId="125900133">
    <w:abstractNumId w:val="15"/>
  </w:num>
  <w:num w:numId="31" w16cid:durableId="465247815">
    <w:abstractNumId w:val="30"/>
  </w:num>
  <w:num w:numId="32" w16cid:durableId="946043748">
    <w:abstractNumId w:val="25"/>
  </w:num>
  <w:num w:numId="33" w16cid:durableId="1058357683">
    <w:abstractNumId w:val="18"/>
  </w:num>
  <w:num w:numId="34" w16cid:durableId="1136068681">
    <w:abstractNumId w:val="31"/>
  </w:num>
  <w:num w:numId="35" w16cid:durableId="443112666">
    <w:abstractNumId w:val="4"/>
  </w:num>
  <w:num w:numId="36" w16cid:durableId="475993022">
    <w:abstractNumId w:val="32"/>
  </w:num>
  <w:num w:numId="37" w16cid:durableId="1691178998">
    <w:abstractNumId w:val="29"/>
  </w:num>
  <w:num w:numId="38" w16cid:durableId="406615449">
    <w:abstractNumId w:val="8"/>
  </w:num>
  <w:num w:numId="39" w16cid:durableId="1341008844">
    <w:abstractNumId w:val="27"/>
  </w:num>
  <w:num w:numId="40" w16cid:durableId="1258103100">
    <w:abstractNumId w:val="35"/>
  </w:num>
  <w:num w:numId="41" w16cid:durableId="666057534">
    <w:abstractNumId w:val="23"/>
  </w:num>
  <w:num w:numId="42" w16cid:durableId="1456216667">
    <w:abstractNumId w:val="37"/>
  </w:num>
  <w:num w:numId="43" w16cid:durableId="2059822078">
    <w:abstractNumId w:val="21"/>
  </w:num>
  <w:num w:numId="44" w16cid:durableId="851647360">
    <w:abstractNumId w:val="13"/>
  </w:num>
  <w:num w:numId="45" w16cid:durableId="1844129728">
    <w:abstractNumId w:val="5"/>
  </w:num>
  <w:num w:numId="46" w16cid:durableId="122664756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60694"/>
    <w:rsid w:val="00077585"/>
    <w:rsid w:val="00095C9F"/>
    <w:rsid w:val="000B1F75"/>
    <w:rsid w:val="000F3A3E"/>
    <w:rsid w:val="00113A0A"/>
    <w:rsid w:val="00114B2C"/>
    <w:rsid w:val="00141EB1"/>
    <w:rsid w:val="001501E8"/>
    <w:rsid w:val="001528C1"/>
    <w:rsid w:val="00157B0A"/>
    <w:rsid w:val="00182B5A"/>
    <w:rsid w:val="00187728"/>
    <w:rsid w:val="001974C2"/>
    <w:rsid w:val="001A6D48"/>
    <w:rsid w:val="001A77FB"/>
    <w:rsid w:val="001C6D2C"/>
    <w:rsid w:val="001E1B54"/>
    <w:rsid w:val="001F3EAC"/>
    <w:rsid w:val="001F5DEE"/>
    <w:rsid w:val="00223553"/>
    <w:rsid w:val="00236FB5"/>
    <w:rsid w:val="00240D89"/>
    <w:rsid w:val="0026491C"/>
    <w:rsid w:val="002B3189"/>
    <w:rsid w:val="002C76D4"/>
    <w:rsid w:val="002F13CE"/>
    <w:rsid w:val="002F26B0"/>
    <w:rsid w:val="00300395"/>
    <w:rsid w:val="00342499"/>
    <w:rsid w:val="003446AC"/>
    <w:rsid w:val="0035084D"/>
    <w:rsid w:val="003776DE"/>
    <w:rsid w:val="003B017B"/>
    <w:rsid w:val="003F295A"/>
    <w:rsid w:val="003F3000"/>
    <w:rsid w:val="00430FC0"/>
    <w:rsid w:val="004513B5"/>
    <w:rsid w:val="00484E3D"/>
    <w:rsid w:val="00485570"/>
    <w:rsid w:val="004A5664"/>
    <w:rsid w:val="004A6F70"/>
    <w:rsid w:val="00510F4A"/>
    <w:rsid w:val="00510FB5"/>
    <w:rsid w:val="0051460B"/>
    <w:rsid w:val="00576660"/>
    <w:rsid w:val="00583F29"/>
    <w:rsid w:val="005A65C3"/>
    <w:rsid w:val="005D0A4A"/>
    <w:rsid w:val="005F51F3"/>
    <w:rsid w:val="00613385"/>
    <w:rsid w:val="006331FD"/>
    <w:rsid w:val="00653153"/>
    <w:rsid w:val="00657E22"/>
    <w:rsid w:val="0066276C"/>
    <w:rsid w:val="00687DFF"/>
    <w:rsid w:val="0069385A"/>
    <w:rsid w:val="006C45EA"/>
    <w:rsid w:val="006D58FB"/>
    <w:rsid w:val="006D629C"/>
    <w:rsid w:val="00726E67"/>
    <w:rsid w:val="007375C9"/>
    <w:rsid w:val="00746450"/>
    <w:rsid w:val="007563FC"/>
    <w:rsid w:val="0077379A"/>
    <w:rsid w:val="007B3C30"/>
    <w:rsid w:val="007E034E"/>
    <w:rsid w:val="00811854"/>
    <w:rsid w:val="0087189B"/>
    <w:rsid w:val="008945EF"/>
    <w:rsid w:val="008963E4"/>
    <w:rsid w:val="008F5246"/>
    <w:rsid w:val="009459B4"/>
    <w:rsid w:val="00952C3D"/>
    <w:rsid w:val="00971138"/>
    <w:rsid w:val="00980B9D"/>
    <w:rsid w:val="00983C71"/>
    <w:rsid w:val="00993D8F"/>
    <w:rsid w:val="009B2B26"/>
    <w:rsid w:val="009B390C"/>
    <w:rsid w:val="009C01A3"/>
    <w:rsid w:val="009C5E6B"/>
    <w:rsid w:val="009D534D"/>
    <w:rsid w:val="009F0E0C"/>
    <w:rsid w:val="00A33A23"/>
    <w:rsid w:val="00AC17ED"/>
    <w:rsid w:val="00B0460C"/>
    <w:rsid w:val="00B10B1A"/>
    <w:rsid w:val="00B332F2"/>
    <w:rsid w:val="00B416AC"/>
    <w:rsid w:val="00B43732"/>
    <w:rsid w:val="00B65BB8"/>
    <w:rsid w:val="00B73C6F"/>
    <w:rsid w:val="00B74ADB"/>
    <w:rsid w:val="00B802FB"/>
    <w:rsid w:val="00BB39B2"/>
    <w:rsid w:val="00BD30B3"/>
    <w:rsid w:val="00BD55CA"/>
    <w:rsid w:val="00BE54F2"/>
    <w:rsid w:val="00C15459"/>
    <w:rsid w:val="00C2011B"/>
    <w:rsid w:val="00C457C5"/>
    <w:rsid w:val="00C55BBE"/>
    <w:rsid w:val="00C6133B"/>
    <w:rsid w:val="00C613E1"/>
    <w:rsid w:val="00C70342"/>
    <w:rsid w:val="00C85B55"/>
    <w:rsid w:val="00CD3E7B"/>
    <w:rsid w:val="00CD7A74"/>
    <w:rsid w:val="00D158F2"/>
    <w:rsid w:val="00D42856"/>
    <w:rsid w:val="00D441DA"/>
    <w:rsid w:val="00D81F9B"/>
    <w:rsid w:val="00D843EE"/>
    <w:rsid w:val="00DA51BD"/>
    <w:rsid w:val="00DB7685"/>
    <w:rsid w:val="00DC730C"/>
    <w:rsid w:val="00E2532D"/>
    <w:rsid w:val="00E31C36"/>
    <w:rsid w:val="00E83E07"/>
    <w:rsid w:val="00EA3156"/>
    <w:rsid w:val="00EC0334"/>
    <w:rsid w:val="00ED7B60"/>
    <w:rsid w:val="00EF7DC1"/>
    <w:rsid w:val="00F176DC"/>
    <w:rsid w:val="00F7463C"/>
    <w:rsid w:val="00F87DB1"/>
    <w:rsid w:val="00F95017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7</cp:revision>
  <cp:lastPrinted>2022-02-01T13:57:00Z</cp:lastPrinted>
  <dcterms:created xsi:type="dcterms:W3CDTF">2025-01-30T11:48:00Z</dcterms:created>
  <dcterms:modified xsi:type="dcterms:W3CDTF">2025-07-11T07:00:00Z</dcterms:modified>
</cp:coreProperties>
</file>