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6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1"/>
        <w:gridCol w:w="88"/>
        <w:gridCol w:w="621"/>
        <w:gridCol w:w="756"/>
        <w:gridCol w:w="534"/>
        <w:gridCol w:w="723"/>
        <w:gridCol w:w="1279"/>
        <w:gridCol w:w="153"/>
        <w:gridCol w:w="1603"/>
        <w:gridCol w:w="510"/>
        <w:gridCol w:w="1109"/>
        <w:gridCol w:w="406"/>
        <w:gridCol w:w="333"/>
        <w:gridCol w:w="1671"/>
      </w:tblGrid>
      <w:tr w:rsidR="00616B74" w:rsidRPr="00A3613C" w14:paraId="78A1E5C2" w14:textId="77777777" w:rsidTr="00184160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79C8AD3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B86ACD8" w14:textId="6E811E0B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F979E2">
              <w:rPr>
                <w:rFonts w:ascii="Times New Roman" w:hAnsi="Times New Roman"/>
                <w:b/>
              </w:rPr>
              <w:t>Bezpieczeństwo państwa w doktryn</w:t>
            </w:r>
            <w:r w:rsidR="00537700">
              <w:rPr>
                <w:rFonts w:ascii="Times New Roman" w:hAnsi="Times New Roman"/>
                <w:b/>
              </w:rPr>
              <w:t>ie</w:t>
            </w:r>
            <w:r w:rsidRPr="00F979E2">
              <w:rPr>
                <w:rFonts w:ascii="Times New Roman" w:hAnsi="Times New Roman"/>
                <w:b/>
              </w:rPr>
              <w:t xml:space="preserve"> i praktyce polityczno-prawnej</w:t>
            </w:r>
          </w:p>
        </w:tc>
      </w:tr>
      <w:tr w:rsidR="00616B74" w:rsidRPr="00A3613C" w14:paraId="1AFBA462" w14:textId="77777777" w:rsidTr="00184160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D8525B2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03F5DC" w14:textId="0836EEB7" w:rsidR="00616B74" w:rsidRPr="00616B74" w:rsidRDefault="00554D4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</w:tr>
      <w:tr w:rsidR="00616B74" w:rsidRPr="00A3613C" w14:paraId="7AF3C3E5" w14:textId="77777777" w:rsidTr="00184160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2DE0491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61F4A8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616B74" w:rsidRPr="00A3613C" w14:paraId="31CB6DC1" w14:textId="77777777" w:rsidTr="00184160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4AF137C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B8B8071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616B74" w:rsidRPr="00A3613C" w14:paraId="28F455B5" w14:textId="77777777" w:rsidTr="00184160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43E64F2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B37DF7" w14:textId="30D493D2" w:rsidR="00616B74" w:rsidRPr="00A3613C" w:rsidRDefault="008A796A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 (</w:t>
            </w:r>
            <w:r w:rsidR="00616B74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do wyboru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)</w:t>
            </w:r>
          </w:p>
        </w:tc>
      </w:tr>
      <w:tr w:rsidR="00616B74" w:rsidRPr="00A3613C" w14:paraId="16A1F56A" w14:textId="77777777" w:rsidTr="00184160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088C696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374D6B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616B74" w:rsidRPr="00A3613C" w14:paraId="453E2BB4" w14:textId="77777777" w:rsidTr="00184160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E509A6E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414D45" w14:textId="13617652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/I</w:t>
            </w:r>
            <w:r w:rsidR="0045424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V</w:t>
            </w:r>
          </w:p>
        </w:tc>
      </w:tr>
      <w:tr w:rsidR="00616B74" w:rsidRPr="00A3613C" w14:paraId="3B45A968" w14:textId="77777777" w:rsidTr="00184160">
        <w:trPr>
          <w:trHeight w:val="380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D1F77D9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616B74" w:rsidRPr="00A3613C" w14:paraId="7689B80F" w14:textId="77777777" w:rsidTr="00184160">
        <w:trPr>
          <w:trHeight w:val="300"/>
          <w:jc w:val="center"/>
        </w:trPr>
        <w:tc>
          <w:tcPr>
            <w:tcW w:w="1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A80D212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07EDD5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3BD06F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B7F3D0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1142F5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42AD63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027686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616B74" w:rsidRPr="00A3613C" w14:paraId="51122132" w14:textId="77777777" w:rsidTr="00184160">
        <w:trPr>
          <w:trHeight w:val="373"/>
          <w:jc w:val="center"/>
        </w:trPr>
        <w:tc>
          <w:tcPr>
            <w:tcW w:w="1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C671F4C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286639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7E67AB7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FFE886E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C4EEE0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0CFE96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58F99F4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616B74" w:rsidRPr="00A3613C" w14:paraId="23FB29CE" w14:textId="77777777" w:rsidTr="00184160">
        <w:trPr>
          <w:trHeight w:val="373"/>
          <w:jc w:val="center"/>
        </w:trPr>
        <w:tc>
          <w:tcPr>
            <w:tcW w:w="1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906929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21F1640" w14:textId="1FDC5F3C" w:rsidR="00616B74" w:rsidRPr="00A3613C" w:rsidRDefault="00616B74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DA54C40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96AF329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FF69C6" w14:textId="4142D4C8" w:rsidR="00616B74" w:rsidRPr="00A3613C" w:rsidRDefault="00616B74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89B0C3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4F0EE4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616B74" w:rsidRPr="00A3613C" w14:paraId="3E590BCA" w14:textId="77777777" w:rsidTr="00184160">
        <w:trPr>
          <w:trHeight w:val="277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57F89BE" w14:textId="77777777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D429EC" w14:textId="7833283C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16B7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Ogólna wiedza na temat prawa międzynarodowego i myśli polityczno-prawnej</w:t>
            </w:r>
          </w:p>
        </w:tc>
      </w:tr>
      <w:tr w:rsidR="00616B74" w:rsidRPr="00A3613C" w14:paraId="3AA07521" w14:textId="77777777" w:rsidTr="00184160">
        <w:trPr>
          <w:trHeight w:val="277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926220A" w14:textId="77777777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F4DBC8" w14:textId="59D94D54" w:rsidR="00616B74" w:rsidRPr="00616B74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16B74">
              <w:rPr>
                <w:rFonts w:ascii="Times New Roman" w:hAnsi="Times New Roman"/>
                <w:color w:val="000000"/>
                <w:sz w:val="20"/>
                <w:szCs w:val="20"/>
              </w:rPr>
              <w:t>Celem przedmiotu jest zapoznanie studentów z podstawowymi doktrynami polityczno-prawnymi kreującymi polityki i strategie bezpieczeństwa państw, jak również wskazywania wiodących programów ochrony (krajowych i międzynarodowych), a także  przybliżenie aktywności wybranych podmiotów odpowiadających za ich realizację.</w:t>
            </w:r>
          </w:p>
        </w:tc>
      </w:tr>
      <w:tr w:rsidR="00616B74" w:rsidRPr="00A3613C" w14:paraId="77417034" w14:textId="77777777" w:rsidTr="00184160">
        <w:trPr>
          <w:trHeight w:val="277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8BA34ED" w14:textId="77777777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8D3BF1" w14:textId="13DD80A9" w:rsidR="00616B74" w:rsidRPr="00A3613C" w:rsidRDefault="0045424C" w:rsidP="0045424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4542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analiza tekstów, metoda projektów, wykład konwersatoryjny, wykład z prezentacją multimedialną, dyskusja, ćwiczenia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4542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przedmiotowe</w:t>
            </w:r>
          </w:p>
        </w:tc>
      </w:tr>
      <w:tr w:rsidR="00616B74" w:rsidRPr="00A3613C" w14:paraId="06EE45FD" w14:textId="77777777" w:rsidTr="00184160">
        <w:trPr>
          <w:trHeight w:val="277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47A6B0F" w14:textId="77777777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69F525" w14:textId="77777777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Komputer, projektor multimedialny, materiały źródłowe.</w:t>
            </w:r>
          </w:p>
        </w:tc>
      </w:tr>
      <w:tr w:rsidR="00616B74" w:rsidRPr="00A3613C" w14:paraId="5E46A31C" w14:textId="77777777" w:rsidTr="00184160">
        <w:trPr>
          <w:trHeight w:val="180"/>
          <w:jc w:val="center"/>
        </w:trPr>
        <w:tc>
          <w:tcPr>
            <w:tcW w:w="1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DFFC190" w14:textId="77777777" w:rsidR="00616B74" w:rsidRPr="00A3613C" w:rsidRDefault="00616B74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B1BC87" w14:textId="77777777" w:rsidR="00616B74" w:rsidRPr="00A3613C" w:rsidRDefault="00616B74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9A73C3" w14:textId="77777777" w:rsidR="00616B74" w:rsidRPr="00A3613C" w:rsidRDefault="00616B74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9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57EF2F" w14:textId="77777777" w:rsidR="00616B74" w:rsidRPr="00A3613C" w:rsidRDefault="00616B74" w:rsidP="00184160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7FB4C5" w14:textId="77777777" w:rsidR="00616B74" w:rsidRPr="00A3613C" w:rsidRDefault="00616B74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616B74" w:rsidRPr="00A3613C" w14:paraId="68A72B3A" w14:textId="77777777" w:rsidTr="00184160">
        <w:trPr>
          <w:trHeight w:val="312"/>
          <w:jc w:val="center"/>
        </w:trPr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6EC5631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B37AA8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K_W01</w:t>
            </w:r>
          </w:p>
          <w:p w14:paraId="5775453D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EE1691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91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0E4979B" w14:textId="4BF904B6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</w:t>
            </w:r>
            <w:r w:rsidRPr="003F11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tudent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zna </w:t>
            </w:r>
            <w:r w:rsidRPr="00616B7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podstawowe pojęcia z zakresu doktryn bezpieczeństwa państwa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C991AD6" w14:textId="77777777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16B74" w:rsidRPr="00A3613C" w14:paraId="27712448" w14:textId="77777777" w:rsidTr="00616B74">
        <w:trPr>
          <w:trHeight w:val="396"/>
          <w:jc w:val="center"/>
        </w:trPr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3245B5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A91156" w14:textId="56C23031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F110D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0AEF54" w14:textId="74A11C43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</w:t>
            </w:r>
            <w:r w:rsidR="0045424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768C303F" w14:textId="47F27B80" w:rsidR="00616B74" w:rsidRPr="003F110D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Cambria" w:hAnsi="Times New Roman"/>
                <w:sz w:val="20"/>
                <w:szCs w:val="20"/>
              </w:rPr>
              <w:t>Student zna klasyfikację</w:t>
            </w:r>
            <w:r w:rsidRPr="00616B74">
              <w:rPr>
                <w:rFonts w:ascii="Times New Roman" w:eastAsia="Cambria" w:hAnsi="Times New Roman"/>
                <w:sz w:val="20"/>
                <w:szCs w:val="20"/>
              </w:rPr>
              <w:t xml:space="preserve"> program</w:t>
            </w:r>
            <w:r>
              <w:rPr>
                <w:rFonts w:ascii="Times New Roman" w:eastAsia="Cambria" w:hAnsi="Times New Roman"/>
                <w:sz w:val="20"/>
                <w:szCs w:val="20"/>
              </w:rPr>
              <w:t>ów</w:t>
            </w:r>
            <w:r w:rsidRPr="00616B74">
              <w:rPr>
                <w:rFonts w:ascii="Times New Roman" w:eastAsia="Cambria" w:hAnsi="Times New Roman"/>
                <w:sz w:val="20"/>
                <w:szCs w:val="20"/>
              </w:rPr>
              <w:t>, zakres</w:t>
            </w:r>
            <w:r>
              <w:rPr>
                <w:rFonts w:ascii="Times New Roman" w:eastAsia="Cambria" w:hAnsi="Times New Roman"/>
                <w:sz w:val="20"/>
                <w:szCs w:val="20"/>
              </w:rPr>
              <w:t>ów</w:t>
            </w:r>
            <w:r w:rsidRPr="00616B74">
              <w:rPr>
                <w:rFonts w:ascii="Times New Roman" w:eastAsia="Cambria" w:hAnsi="Times New Roman"/>
                <w:sz w:val="20"/>
                <w:szCs w:val="20"/>
              </w:rPr>
              <w:t xml:space="preserve"> przedmiotow</w:t>
            </w:r>
            <w:r>
              <w:rPr>
                <w:rFonts w:ascii="Times New Roman" w:eastAsia="Cambria" w:hAnsi="Times New Roman"/>
                <w:sz w:val="20"/>
                <w:szCs w:val="20"/>
              </w:rPr>
              <w:t>ych</w:t>
            </w:r>
            <w:r w:rsidRPr="00616B74">
              <w:rPr>
                <w:rFonts w:ascii="Times New Roman" w:eastAsia="Cambria" w:hAnsi="Times New Roman"/>
                <w:sz w:val="20"/>
                <w:szCs w:val="20"/>
              </w:rPr>
              <w:t xml:space="preserve"> i podmiotow</w:t>
            </w:r>
            <w:r>
              <w:rPr>
                <w:rFonts w:ascii="Times New Roman" w:eastAsia="Cambria" w:hAnsi="Times New Roman"/>
                <w:sz w:val="20"/>
                <w:szCs w:val="20"/>
              </w:rPr>
              <w:t>ych,</w:t>
            </w:r>
            <w:r w:rsidRPr="00616B74">
              <w:rPr>
                <w:rFonts w:ascii="Times New Roman" w:eastAsia="Cambria" w:hAnsi="Times New Roman"/>
                <w:sz w:val="20"/>
                <w:szCs w:val="20"/>
              </w:rPr>
              <w:t xml:space="preserve"> związan</w:t>
            </w:r>
            <w:r>
              <w:rPr>
                <w:rFonts w:ascii="Times New Roman" w:eastAsia="Cambria" w:hAnsi="Times New Roman"/>
                <w:sz w:val="20"/>
                <w:szCs w:val="20"/>
              </w:rPr>
              <w:t>ych</w:t>
            </w:r>
            <w:r w:rsidRPr="00616B74">
              <w:rPr>
                <w:rFonts w:ascii="Times New Roman" w:eastAsia="Cambria" w:hAnsi="Times New Roman"/>
                <w:sz w:val="20"/>
                <w:szCs w:val="20"/>
              </w:rPr>
              <w:t xml:space="preserve"> z bezpieczeństwa państwa oraz wykazuje pogłębioną wiedzę na temat powiązań pomiędzy strukturami administracji publicznej krajowej i międzynarodowej oraz podmiotami społecznymi.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B23CCB5" w14:textId="77777777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16B74" w:rsidRPr="00A3613C" w14:paraId="568FF76E" w14:textId="77777777" w:rsidTr="00184160">
        <w:trPr>
          <w:trHeight w:val="648"/>
          <w:jc w:val="center"/>
        </w:trPr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EE883CF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156EB2" w14:textId="37CDC256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  <w:p w14:paraId="56447BFA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551371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06D7A5EE" w14:textId="6D6E4703" w:rsidR="00616B74" w:rsidRPr="00616B74" w:rsidRDefault="00616B74" w:rsidP="00616B7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mbria" w:hAnsi="Times New Roman"/>
                <w:sz w:val="20"/>
                <w:szCs w:val="20"/>
              </w:rPr>
            </w:pPr>
            <w:r w:rsidRPr="009B5AA8">
              <w:rPr>
                <w:rFonts w:ascii="Times New Roman" w:eastAsia="Cambria" w:hAnsi="Times New Roman"/>
                <w:sz w:val="20"/>
                <w:szCs w:val="20"/>
              </w:rPr>
              <w:t>Student</w:t>
            </w:r>
            <w:r w:rsidRPr="00616B74">
              <w:rPr>
                <w:rFonts w:ascii="Times New Roman" w:eastAsia="Cambria" w:hAnsi="Times New Roman"/>
                <w:sz w:val="20"/>
                <w:szCs w:val="20"/>
              </w:rPr>
              <w:t xml:space="preserve"> posiada umiejętność wyjaśniania zachodzących procesów w obszarze bezpieczeństwa państwa, formułując własne opinie na temat zachodzących zjawisk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A0540B4" w14:textId="77777777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16B74" w:rsidRPr="00A3613C" w14:paraId="1C47DE4C" w14:textId="77777777" w:rsidTr="00616B74">
        <w:trPr>
          <w:trHeight w:val="346"/>
          <w:jc w:val="center"/>
        </w:trPr>
        <w:tc>
          <w:tcPr>
            <w:tcW w:w="16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C142015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1FBFC3" w14:textId="3B395E12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B5AA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4</w:t>
            </w:r>
          </w:p>
          <w:p w14:paraId="6C0C78AC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7E60B6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4C50F444" w14:textId="6970EE30" w:rsidR="00616B74" w:rsidRPr="009B5AA8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B5AA8">
              <w:rPr>
                <w:rFonts w:ascii="Times New Roman" w:eastAsia="Cambria" w:hAnsi="Times New Roman"/>
                <w:sz w:val="20"/>
                <w:szCs w:val="20"/>
              </w:rPr>
              <w:t xml:space="preserve">Student </w:t>
            </w:r>
            <w:r w:rsidRPr="00616B74">
              <w:rPr>
                <w:rFonts w:ascii="Times New Roman" w:eastAsia="Cambria" w:hAnsi="Times New Roman"/>
                <w:sz w:val="20"/>
                <w:szCs w:val="20"/>
              </w:rPr>
              <w:t>potrafi pozyskać właściwe informacje na temat podmiotów związanych z eliminacją zagrożeń dla bezpieczeństwa państwa,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B7BFD9" w14:textId="77777777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16B74" w:rsidRPr="00A3613C" w14:paraId="701040D3" w14:textId="77777777" w:rsidTr="00184160">
        <w:trPr>
          <w:trHeight w:val="312"/>
          <w:jc w:val="center"/>
        </w:trPr>
        <w:tc>
          <w:tcPr>
            <w:tcW w:w="16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C27C3C2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8D9B27" w14:textId="39A1146E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86116B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3</w:t>
            </w:r>
          </w:p>
        </w:tc>
        <w:tc>
          <w:tcPr>
            <w:tcW w:w="591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556FF3A" w14:textId="67B6DDF7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616B74">
              <w:rPr>
                <w:rFonts w:ascii="Times New Roman" w:eastAsia="Cambria" w:hAnsi="Times New Roman"/>
                <w:sz w:val="20"/>
                <w:szCs w:val="20"/>
              </w:rPr>
              <w:t>analizuje oraz interpretuje zmiany zachodzące z perspektywy doktryny prawno-politycznej oraz potencjalnych zagrożeń,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58A273E" w14:textId="77777777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16B74" w:rsidRPr="00A3613C" w14:paraId="2D4109FA" w14:textId="77777777" w:rsidTr="00184160">
        <w:trPr>
          <w:trHeight w:val="58"/>
          <w:jc w:val="center"/>
        </w:trPr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5B99758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EFCB7C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5E1696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9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995375C" w14:textId="4822DB8F" w:rsidR="00616B74" w:rsidRPr="00A3613C" w:rsidRDefault="00616B74" w:rsidP="00616B7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616B7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samodzielnie i krytycznie kompletuje wiedzę na temat podstaw funkcjonowania bezpiecznego państwa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79871D" w14:textId="77777777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 i ocena ciągła</w:t>
            </w:r>
          </w:p>
        </w:tc>
      </w:tr>
      <w:tr w:rsidR="00616B74" w:rsidRPr="00A3613C" w14:paraId="2A57FC9C" w14:textId="77777777" w:rsidTr="00184160">
        <w:trPr>
          <w:trHeight w:val="612"/>
          <w:jc w:val="center"/>
        </w:trPr>
        <w:tc>
          <w:tcPr>
            <w:tcW w:w="16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3287644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4DDC41" w14:textId="007FFD9A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078360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91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B47EAF1" w14:textId="35410828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616B7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identyfikuje źródła zagrożeń oraz jest zdolny ocenić poziom bezpieczeństwa państwa z perspektywy nałożonych na administrację publiczną oraz podmioty pozarządowe zadań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10CFD23" w14:textId="77777777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 ocena ciągła</w:t>
            </w:r>
          </w:p>
        </w:tc>
      </w:tr>
      <w:tr w:rsidR="00616B74" w:rsidRPr="00A3613C" w14:paraId="2851C748" w14:textId="77777777" w:rsidTr="00184160">
        <w:trPr>
          <w:trHeight w:val="768"/>
          <w:jc w:val="center"/>
        </w:trPr>
        <w:tc>
          <w:tcPr>
            <w:tcW w:w="16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C82BECC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DE4E96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017985FF" w14:textId="6DE11A6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162F46" w14:textId="77777777" w:rsidR="00616B74" w:rsidRPr="00A3613C" w:rsidRDefault="00616B7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EPK3</w:t>
            </w:r>
          </w:p>
        </w:tc>
        <w:tc>
          <w:tcPr>
            <w:tcW w:w="5911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4206DA5" w14:textId="1C6DA708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616B7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ma świadomości doniosłości zobowiązań obywatelskich za bezpieczeństwo państwa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B1B106C" w14:textId="77777777" w:rsidR="00616B74" w:rsidRPr="00A3613C" w:rsidRDefault="00616B74" w:rsidP="0018416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 i ocena ciągła</w:t>
            </w:r>
          </w:p>
        </w:tc>
      </w:tr>
      <w:tr w:rsidR="00616B74" w:rsidRPr="00A3613C" w14:paraId="4BDF7335" w14:textId="77777777" w:rsidTr="00184160">
        <w:trPr>
          <w:trHeight w:val="277"/>
          <w:jc w:val="center"/>
        </w:trPr>
        <w:tc>
          <w:tcPr>
            <w:tcW w:w="905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E4FEEF" w14:textId="77777777" w:rsidR="00616B74" w:rsidRPr="00A3613C" w:rsidRDefault="00616B74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1507F8" w14:textId="77777777" w:rsidR="00616B74" w:rsidRPr="00A3613C" w:rsidRDefault="00616B74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616B74" w:rsidRPr="00A3613C" w14:paraId="626E2DFB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653A858" w14:textId="77777777" w:rsidR="00616B74" w:rsidRPr="00A3613C" w:rsidRDefault="00616B74" w:rsidP="00184160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616B74" w:rsidRPr="00A3613C" w14:paraId="79F018E1" w14:textId="77777777" w:rsidTr="00184160">
        <w:trPr>
          <w:trHeight w:val="87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37E6D33F" w14:textId="0354F559" w:rsidR="00616B74" w:rsidRPr="00616B74" w:rsidRDefault="00616B74" w:rsidP="00616B74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16B74">
              <w:rPr>
                <w:rFonts w:ascii="Times New Roman" w:hAnsi="Times New Roman" w:cs="Times New Roman"/>
                <w:sz w:val="22"/>
                <w:szCs w:val="22"/>
              </w:rPr>
              <w:t xml:space="preserve">Pojęcie bezpieczeństwo państwa  w doktrynach polityczno-prawnych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42E24B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EPU1 EPU2 EPU3</w:t>
            </w:r>
          </w:p>
        </w:tc>
      </w:tr>
      <w:tr w:rsidR="00616B74" w:rsidRPr="00AD1E16" w14:paraId="2042E95E" w14:textId="77777777" w:rsidTr="00844003">
        <w:trPr>
          <w:trHeight w:val="180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0AF77471" w14:textId="6D550E7A" w:rsidR="00616B74" w:rsidRPr="00616B74" w:rsidRDefault="00616B74" w:rsidP="00616B74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16B74">
              <w:rPr>
                <w:rFonts w:ascii="Times New Roman" w:hAnsi="Times New Roman" w:cs="Times New Roman"/>
                <w:sz w:val="22"/>
                <w:szCs w:val="22"/>
              </w:rPr>
              <w:t xml:space="preserve">Podstawy normatywne i funkcjonowanie nowożytnych systemów bezpieczeństwa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3ABA8A" w14:textId="77777777" w:rsidR="00616B74" w:rsidRPr="00AD1E16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EPW4 EPW5 EPW6 EPW7 EPU: 1,2,3,4,5,6,7,</w:t>
            </w:r>
          </w:p>
          <w:p w14:paraId="32130F68" w14:textId="77777777" w:rsidR="00616B74" w:rsidRPr="00AD1E16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EPK1 EPK2 EPK3 </w:t>
            </w:r>
          </w:p>
        </w:tc>
      </w:tr>
      <w:tr w:rsidR="00616B74" w:rsidRPr="00A3613C" w14:paraId="400902B8" w14:textId="77777777" w:rsidTr="00616B74">
        <w:trPr>
          <w:trHeight w:val="312"/>
          <w:jc w:val="center"/>
        </w:trPr>
        <w:tc>
          <w:tcPr>
            <w:tcW w:w="9057" w:type="dxa"/>
            <w:gridSpan w:val="11"/>
            <w:tcBorders>
              <w:bottom w:val="single" w:sz="4" w:space="0" w:color="auto"/>
            </w:tcBorders>
            <w:tcMar>
              <w:left w:w="92" w:type="dxa"/>
            </w:tcMar>
          </w:tcPr>
          <w:p w14:paraId="41FF73CB" w14:textId="6AAA0322" w:rsidR="00616B74" w:rsidRPr="00616B74" w:rsidRDefault="00616B74" w:rsidP="00616B74">
            <w:pPr>
              <w:pStyle w:val="Tekstpodstawowy"/>
              <w:widowControl w:val="0"/>
              <w:numPr>
                <w:ilvl w:val="0"/>
                <w:numId w:val="11"/>
              </w:numPr>
              <w:suppressAutoHyphens/>
              <w:spacing w:after="120"/>
              <w:jc w:val="left"/>
              <w:rPr>
                <w:rFonts w:eastAsia="SimSun"/>
                <w:color w:val="000000"/>
                <w:lang w:eastAsia="zh-CN"/>
              </w:rPr>
            </w:pPr>
            <w:r w:rsidRPr="00616B74">
              <w:rPr>
                <w:sz w:val="22"/>
                <w:szCs w:val="22"/>
              </w:rPr>
              <w:lastRenderedPageBreak/>
              <w:t xml:space="preserve">Bezpieczeństwo narodowe współczesnych państw – teoria i praktyka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6912F5" w14:textId="708D6A59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EPW1 EPW2 EPW3 EPW4 EPW5 EPW6 </w:t>
            </w:r>
          </w:p>
        </w:tc>
      </w:tr>
      <w:tr w:rsidR="00616B74" w:rsidRPr="00A3613C" w14:paraId="1F00A66C" w14:textId="77777777" w:rsidTr="00616B74">
        <w:trPr>
          <w:trHeight w:val="864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</w:tcBorders>
            <w:tcMar>
              <w:left w:w="92" w:type="dxa"/>
            </w:tcMar>
          </w:tcPr>
          <w:p w14:paraId="14C8C1EB" w14:textId="77777777" w:rsidR="00616B74" w:rsidRPr="00616B74" w:rsidRDefault="00616B74" w:rsidP="00616B74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6B74">
              <w:rPr>
                <w:rFonts w:ascii="Times New Roman" w:hAnsi="Times New Roman" w:cs="Times New Roman"/>
                <w:sz w:val="22"/>
                <w:szCs w:val="22"/>
              </w:rPr>
              <w:t xml:space="preserve">Strategie  i polityki bezpieczeństwa mocarstw globalnych oraz wiodących organizacji międzynarodowych. Strategia bezpieczeństwa RP –  przeszłość, teraźniejszość, postulaty zmian 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F06633" w14:textId="77777777" w:rsidR="00616B74" w:rsidRPr="00AD1E16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EPW7 EPU: 1,2,3,4,5,6,7,</w:t>
            </w:r>
          </w:p>
          <w:p w14:paraId="74C404FF" w14:textId="77777777" w:rsidR="00616B74" w:rsidRPr="00AD1E16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 EPK2 EPK3</w:t>
            </w:r>
            <w:r w:rsidRPr="00AD1E16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  <w:tr w:rsidR="00616B74" w:rsidRPr="00A3613C" w14:paraId="1A824122" w14:textId="77777777" w:rsidTr="00184160">
        <w:trPr>
          <w:trHeight w:val="288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34BA196C" w14:textId="2AF2FBF4" w:rsidR="00616B74" w:rsidRPr="00616B74" w:rsidRDefault="00616B74" w:rsidP="00616B74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16B74">
              <w:rPr>
                <w:rFonts w:ascii="Times New Roman" w:hAnsi="Times New Roman" w:cs="Times New Roman"/>
                <w:sz w:val="22"/>
                <w:szCs w:val="22"/>
              </w:rPr>
              <w:t xml:space="preserve">Wspólna Polityka  Zagraniczna i Bezpieczeństwa UE oraz Europejska Polityka Bezpieczeństwa i Obrony  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6E1023" w14:textId="77777777" w:rsidR="00616B74" w:rsidRPr="00AD1E16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EPW4 EPW5 EPW6 EPW7 EPU: 1,2,3,4,5,6,7,</w:t>
            </w:r>
          </w:p>
          <w:p w14:paraId="336DE8A1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 EPK2 EPK3</w:t>
            </w:r>
          </w:p>
        </w:tc>
      </w:tr>
      <w:tr w:rsidR="00616B74" w:rsidRPr="00A3613C" w14:paraId="17CECB60" w14:textId="77777777" w:rsidTr="00844003">
        <w:trPr>
          <w:trHeight w:val="180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12096443" w14:textId="46B88014" w:rsidR="00616B74" w:rsidRPr="00616B74" w:rsidRDefault="00616B74" w:rsidP="00616B74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16B74">
              <w:rPr>
                <w:rFonts w:ascii="Times New Roman" w:hAnsi="Times New Roman" w:cs="Times New Roman"/>
                <w:sz w:val="22"/>
                <w:szCs w:val="22"/>
              </w:rPr>
              <w:t xml:space="preserve">Misje i interwencje zewnętrzne – przywilej silniejszego, czy obowiązek przeciwdziałania globalnym zagrożeniom (problemy polityczno-prawne)? 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580694" w14:textId="77777777" w:rsidR="00616B74" w:rsidRPr="00AD1E16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EPW4 EPW5 EPW6 EPW7 EPU: 1,2,3,4,5,6,7,</w:t>
            </w:r>
          </w:p>
          <w:p w14:paraId="05012400" w14:textId="77777777" w:rsidR="00616B74" w:rsidRPr="00AD1E16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 EPK2 EPK3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EPK4 </w:t>
            </w:r>
          </w:p>
        </w:tc>
      </w:tr>
      <w:tr w:rsidR="00616B74" w:rsidRPr="00A3613C" w14:paraId="3755DE5C" w14:textId="77777777" w:rsidTr="00184160">
        <w:trPr>
          <w:trHeight w:val="120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735CDE44" w14:textId="5C11F592" w:rsidR="00616B74" w:rsidRPr="00616B74" w:rsidRDefault="00616B74" w:rsidP="00616B74">
            <w:pPr>
              <w:pStyle w:val="Tekstpodstawowy"/>
              <w:widowControl w:val="0"/>
              <w:numPr>
                <w:ilvl w:val="0"/>
                <w:numId w:val="11"/>
              </w:numPr>
              <w:tabs>
                <w:tab w:val="clear" w:pos="426"/>
              </w:tabs>
              <w:suppressAutoHyphens/>
              <w:overflowPunct/>
              <w:autoSpaceDE/>
              <w:autoSpaceDN/>
              <w:adjustRightInd/>
              <w:spacing w:after="120"/>
              <w:jc w:val="left"/>
              <w:textAlignment w:val="auto"/>
              <w:rPr>
                <w:sz w:val="22"/>
                <w:szCs w:val="22"/>
              </w:rPr>
            </w:pPr>
            <w:r w:rsidRPr="00616B74">
              <w:rPr>
                <w:sz w:val="22"/>
                <w:szCs w:val="22"/>
              </w:rPr>
              <w:t>Bezpieczeństwo zewnętrzne i wewnętrzne państwa a problemy współczesnego świata : destabilizacja ekonomiczna; doktryny ekstremizmu politycznego i religijnego; międzynarodowy terroryzm, proliferacja broni masowego rażenia ; problem państw upadłych; migracje ;jurysdykcja sądownictwa międzynarodowego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C7BFFA" w14:textId="77777777" w:rsidR="00616B74" w:rsidRPr="00AD1E16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EPW4 EPW5 EPW6 EPW7 EPU: 1,2,3,4,5,</w:t>
            </w:r>
          </w:p>
          <w:p w14:paraId="261CBB9B" w14:textId="77777777" w:rsidR="00616B74" w:rsidRPr="00AD1E16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EPK3</w:t>
            </w:r>
          </w:p>
        </w:tc>
      </w:tr>
      <w:tr w:rsidR="00616B74" w:rsidRPr="00A3613C" w14:paraId="3A19D849" w14:textId="77777777" w:rsidTr="00184160">
        <w:trPr>
          <w:trHeight w:val="108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744039F9" w14:textId="2761C551" w:rsidR="00616B74" w:rsidRPr="00616B74" w:rsidRDefault="00616B74" w:rsidP="00616B74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16B74">
              <w:rPr>
                <w:rFonts w:ascii="Times New Roman" w:hAnsi="Times New Roman" w:cs="Times New Roman"/>
                <w:sz w:val="22"/>
                <w:szCs w:val="22"/>
              </w:rPr>
              <w:t xml:space="preserve">Prawno-polityczne podstawy bezpieczeństwa energetycznego państwa w warunkach globalnego rynku paliw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FCFB65" w14:textId="77777777" w:rsidR="00616B74" w:rsidRPr="00AD1E16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EPW4 EPW5 EPW6 EPW7 EPU: 1,2,3,4,5,</w:t>
            </w:r>
          </w:p>
          <w:p w14:paraId="2A4527EF" w14:textId="77777777" w:rsidR="00616B74" w:rsidRPr="00AD1E16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EPK3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EPK4</w:t>
            </w:r>
          </w:p>
        </w:tc>
      </w:tr>
      <w:tr w:rsidR="00616B74" w:rsidRPr="00A3613C" w14:paraId="56A09667" w14:textId="77777777" w:rsidTr="00184160">
        <w:trPr>
          <w:trHeight w:val="144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0C8B47E8" w14:textId="6CDB8891" w:rsidR="00616B74" w:rsidRPr="00616B74" w:rsidRDefault="00616B74" w:rsidP="00616B74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16B74">
              <w:rPr>
                <w:rFonts w:ascii="Times New Roman" w:hAnsi="Times New Roman" w:cs="Times New Roman"/>
                <w:sz w:val="22"/>
                <w:szCs w:val="22"/>
              </w:rPr>
              <w:t xml:space="preserve">Ochrona granic zewnętrznych - problemy polityczno-prawne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524B86" w14:textId="77777777" w:rsidR="00616B74" w:rsidRPr="00AD1E16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EPW4 EPW5 EPW6 EPW7 EPU: 1,2,3,4,5,6,7,</w:t>
            </w:r>
          </w:p>
          <w:p w14:paraId="2E282F05" w14:textId="77777777" w:rsidR="00616B74" w:rsidRPr="00AD1E16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616B74" w:rsidRPr="00A3613C" w14:paraId="775EFF42" w14:textId="77777777" w:rsidTr="00184160">
        <w:trPr>
          <w:trHeight w:val="144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69B6C11C" w14:textId="3D132234" w:rsidR="00616B74" w:rsidRPr="00616B74" w:rsidRDefault="00616B74" w:rsidP="00616B74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616B74">
              <w:rPr>
                <w:rFonts w:ascii="Times New Roman" w:hAnsi="Times New Roman" w:cs="Times New Roman"/>
                <w:sz w:val="22"/>
                <w:szCs w:val="22"/>
              </w:rPr>
              <w:t>Administracja publiczna, organizacje pozarządowe oraz zobowiązania obywateli w kontekście nowych wyzwań z zakresu bezpieczeństwa państwa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1B4B41" w14:textId="77777777" w:rsidR="00616B74" w:rsidRPr="00AD1E16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EPW1 EPW2 EPW3 EPW4 EPW5 EPW6 EPW7 EPU: 1,2,3,4,5,6,7,</w:t>
            </w:r>
          </w:p>
          <w:p w14:paraId="6922CEA8" w14:textId="77777777" w:rsidR="00616B74" w:rsidRPr="00AD1E16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EPK1</w:t>
            </w:r>
          </w:p>
        </w:tc>
      </w:tr>
      <w:tr w:rsidR="00616B74" w:rsidRPr="00A3613C" w14:paraId="1F148773" w14:textId="77777777" w:rsidTr="00184160">
        <w:trPr>
          <w:trHeight w:val="86"/>
          <w:jc w:val="center"/>
        </w:trPr>
        <w:tc>
          <w:tcPr>
            <w:tcW w:w="11467" w:type="dxa"/>
            <w:gridSpan w:val="14"/>
            <w:tcBorders>
              <w:top w:val="single" w:sz="4" w:space="0" w:color="auto"/>
              <w:bottom w:val="single" w:sz="4" w:space="0" w:color="auto"/>
            </w:tcBorders>
            <w:tcMar>
              <w:left w:w="92" w:type="dxa"/>
            </w:tcMar>
          </w:tcPr>
          <w:p w14:paraId="31B8F179" w14:textId="77777777" w:rsidR="00616B74" w:rsidRPr="001F1404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F1404">
              <w:rPr>
                <w:rFonts w:ascii="Times New Roman" w:hAnsi="Times New Roman"/>
                <w:b/>
                <w:bCs/>
                <w:sz w:val="20"/>
                <w:szCs w:val="20"/>
              </w:rPr>
              <w:t>Forma zaliczenia</w:t>
            </w:r>
          </w:p>
        </w:tc>
      </w:tr>
      <w:tr w:rsidR="00616B74" w:rsidRPr="00A3613C" w14:paraId="1139A403" w14:textId="77777777" w:rsidTr="00184160">
        <w:trPr>
          <w:trHeight w:val="365"/>
          <w:jc w:val="center"/>
        </w:trPr>
        <w:tc>
          <w:tcPr>
            <w:tcW w:w="11467" w:type="dxa"/>
            <w:gridSpan w:val="14"/>
            <w:tcBorders>
              <w:top w:val="single" w:sz="4" w:space="0" w:color="auto"/>
              <w:bottom w:val="single" w:sz="6" w:space="0" w:color="00000A"/>
            </w:tcBorders>
            <w:tcMar>
              <w:left w:w="92" w:type="dxa"/>
            </w:tcMar>
          </w:tcPr>
          <w:p w14:paraId="01384BDD" w14:textId="6C5F04DF" w:rsidR="00616B74" w:rsidRPr="00616B74" w:rsidRDefault="00616B74" w:rsidP="00616B74">
            <w:p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16B74">
              <w:rPr>
                <w:rFonts w:ascii="Times New Roman" w:hAnsi="Times New Roman"/>
                <w:sz w:val="20"/>
                <w:szCs w:val="20"/>
              </w:rPr>
              <w:t xml:space="preserve">Wiedza: </w:t>
            </w:r>
            <w:r w:rsidR="0045424C">
              <w:rPr>
                <w:rFonts w:ascii="Times New Roman" w:hAnsi="Times New Roman"/>
                <w:sz w:val="20"/>
                <w:szCs w:val="20"/>
              </w:rPr>
              <w:t>z</w:t>
            </w:r>
            <w:r w:rsidRPr="00616B74">
              <w:rPr>
                <w:rFonts w:ascii="Times New Roman" w:hAnsi="Times New Roman"/>
                <w:sz w:val="20"/>
                <w:szCs w:val="20"/>
              </w:rPr>
              <w:t xml:space="preserve">aliczenie pisemne </w:t>
            </w:r>
            <w:r w:rsidR="0045424C">
              <w:rPr>
                <w:rFonts w:ascii="Times New Roman" w:hAnsi="Times New Roman"/>
                <w:sz w:val="20"/>
                <w:szCs w:val="20"/>
              </w:rPr>
              <w:t>2 pytania otwarte, jedno zagadnienie</w:t>
            </w:r>
            <w:r w:rsidRPr="00616B74">
              <w:rPr>
                <w:rFonts w:ascii="Times New Roman" w:hAnsi="Times New Roman"/>
                <w:sz w:val="20"/>
                <w:szCs w:val="20"/>
              </w:rPr>
              <w:t xml:space="preserve"> do rozwiązania</w:t>
            </w:r>
          </w:p>
          <w:p w14:paraId="67C30153" w14:textId="77777777" w:rsidR="00616B74" w:rsidRPr="00616B74" w:rsidRDefault="00616B74" w:rsidP="00616B74">
            <w:p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16B74">
              <w:rPr>
                <w:rFonts w:ascii="Times New Roman" w:hAnsi="Times New Roman"/>
                <w:sz w:val="20"/>
                <w:szCs w:val="20"/>
              </w:rPr>
              <w:t xml:space="preserve">Umiejętności: zaliczenie pisemne </w:t>
            </w:r>
          </w:p>
          <w:p w14:paraId="31331F04" w14:textId="3F16B528" w:rsidR="00616B74" w:rsidRPr="004B58FC" w:rsidRDefault="00616B74" w:rsidP="00616B74">
            <w:p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16B74">
              <w:rPr>
                <w:rFonts w:ascii="Times New Roman" w:hAnsi="Times New Roman"/>
                <w:sz w:val="20"/>
                <w:szCs w:val="20"/>
              </w:rPr>
              <w:t>Kompetencje społeczne: zaliczenie na podstawie aktywności na zajęciach</w:t>
            </w:r>
          </w:p>
        </w:tc>
      </w:tr>
      <w:tr w:rsidR="00616B74" w:rsidRPr="00A3613C" w14:paraId="55921F70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B55CC79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616B74" w:rsidRPr="00A3613C" w14:paraId="579EE9D9" w14:textId="77777777" w:rsidTr="00184160">
        <w:trPr>
          <w:trHeight w:val="277"/>
          <w:jc w:val="center"/>
        </w:trPr>
        <w:tc>
          <w:tcPr>
            <w:tcW w:w="1769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1CCF1AA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E5FE8C4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10717129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B0EF015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71D4CB1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7A13EDE6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99A9B52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6B4581E9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495C1C7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6037CC21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616B74" w:rsidRPr="00A3613C" w14:paraId="3C0BA80D" w14:textId="77777777" w:rsidTr="00184160">
        <w:trPr>
          <w:trHeight w:val="277"/>
          <w:jc w:val="center"/>
        </w:trPr>
        <w:tc>
          <w:tcPr>
            <w:tcW w:w="1769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67E1E33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2F594160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E2DD838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0FCC95BE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69952BF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3308301F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C2ADAB8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7315AD4A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1A5F808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77290007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AF3046D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57FDBB6A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616B74" w:rsidRPr="00A3613C" w14:paraId="0BDFA57A" w14:textId="77777777" w:rsidTr="00184160">
        <w:trPr>
          <w:trHeight w:val="277"/>
          <w:jc w:val="center"/>
        </w:trPr>
        <w:tc>
          <w:tcPr>
            <w:tcW w:w="1769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263ACCB2" w14:textId="77777777" w:rsidR="00616B74" w:rsidRPr="00A3613C" w:rsidRDefault="00616B74" w:rsidP="00616B7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8CB9790" w14:textId="77777777" w:rsidR="00616B74" w:rsidRPr="00A3613C" w:rsidRDefault="00616B74" w:rsidP="00616B74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7582536A" w14:textId="77777777" w:rsidR="00616B74" w:rsidRPr="00A3613C" w:rsidRDefault="00616B74" w:rsidP="00616B74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23C6FD20" w14:textId="77777777" w:rsidR="00616B74" w:rsidRPr="00A3613C" w:rsidRDefault="00616B74" w:rsidP="00616B7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23E97298" w14:textId="77777777" w:rsidR="00616B74" w:rsidRPr="00A3613C" w:rsidRDefault="00616B74" w:rsidP="00616B7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nie prezentuje zaangażowania i zainteresowania przedmiotem.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4DDDED03" w14:textId="77777777" w:rsidR="00616B74" w:rsidRPr="00A3613C" w:rsidRDefault="00616B74" w:rsidP="00616B7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55DA63FB" w14:textId="77777777" w:rsidR="00616B74" w:rsidRPr="00A3613C" w:rsidRDefault="00616B74" w:rsidP="00616B74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363A707F" w14:textId="77777777" w:rsidR="00616B74" w:rsidRPr="00A3613C" w:rsidRDefault="00616B74" w:rsidP="00616B74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7AFA8995" w14:textId="77777777" w:rsidR="00616B74" w:rsidRPr="00A3613C" w:rsidRDefault="00616B74" w:rsidP="00616B7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787D03F9" w14:textId="77777777" w:rsidR="00616B74" w:rsidRPr="00A3613C" w:rsidRDefault="00616B74" w:rsidP="00616B74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0E688E" w14:textId="77777777" w:rsidR="00616B74" w:rsidRPr="00A3613C" w:rsidRDefault="00616B74" w:rsidP="00616B7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6CE0E98" w14:textId="77777777" w:rsidR="00616B74" w:rsidRPr="00A3613C" w:rsidRDefault="00616B74" w:rsidP="00616B74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7A128C32" w14:textId="77777777" w:rsidR="00616B74" w:rsidRPr="00A3613C" w:rsidRDefault="00616B74" w:rsidP="00616B74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34995619" w14:textId="77777777" w:rsidR="00616B74" w:rsidRPr="00A3613C" w:rsidRDefault="00616B74" w:rsidP="00616B7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7988C157" w14:textId="77777777" w:rsidR="00616B74" w:rsidRPr="00A3613C" w:rsidRDefault="00616B74" w:rsidP="00616B74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E6E12A8" w14:textId="77777777" w:rsidR="00616B74" w:rsidRPr="00A3613C" w:rsidRDefault="00616B74" w:rsidP="00616B7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FCE67D0" w14:textId="77777777" w:rsidR="00616B74" w:rsidRPr="00A3613C" w:rsidRDefault="00616B74" w:rsidP="00616B74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1C71538E" w14:textId="77777777" w:rsidR="00616B74" w:rsidRPr="00A3613C" w:rsidRDefault="00616B74" w:rsidP="00616B74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429F42E1" w14:textId="77777777" w:rsidR="00616B74" w:rsidRPr="00A3613C" w:rsidRDefault="00616B74" w:rsidP="00616B74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dostrzega błędy popełniane przy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rozwiązywaniu określonego zadania; opanował efekty uczenia się w stopniu dobrym,</w:t>
            </w:r>
          </w:p>
          <w:p w14:paraId="72D598D6" w14:textId="77777777" w:rsidR="00616B74" w:rsidRPr="00A3613C" w:rsidRDefault="00616B74" w:rsidP="00616B74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55478D" w14:textId="77777777" w:rsidR="00616B74" w:rsidRPr="00A3613C" w:rsidRDefault="00616B74" w:rsidP="00616B7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6DA69ECC" w14:textId="77777777" w:rsidR="00616B74" w:rsidRPr="00A3613C" w:rsidRDefault="00616B74" w:rsidP="00616B74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2C26E941" w14:textId="77777777" w:rsidR="00616B74" w:rsidRPr="00A3613C" w:rsidRDefault="00616B74" w:rsidP="00616B74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prezentuje prawidłowy zasób wiedzy, dostrzega i koryguje błędy popełniane przy rozwiązywaniu określonego zadania; efekty uczenia się </w:t>
            </w: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opanował na poziomie ponad dobrym,</w:t>
            </w:r>
          </w:p>
          <w:p w14:paraId="6BCF20E0" w14:textId="77777777" w:rsidR="00616B74" w:rsidRPr="00A3613C" w:rsidRDefault="00616B74" w:rsidP="00616B74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42D2F69" w14:textId="77777777" w:rsidR="00616B74" w:rsidRPr="00A3613C" w:rsidRDefault="00616B74" w:rsidP="00616B7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54807056" w14:textId="77777777" w:rsidR="00616B74" w:rsidRPr="00A3613C" w:rsidRDefault="00616B74" w:rsidP="00616B74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5E627EFD" w14:textId="77777777" w:rsidR="00616B74" w:rsidRPr="00A3613C" w:rsidRDefault="00616B74" w:rsidP="00616B74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03AE9165" w14:textId="77777777" w:rsidR="00616B74" w:rsidRPr="00A3613C" w:rsidRDefault="00616B74" w:rsidP="00616B7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>efekty uczenia się opanował na poziomie bardzo dobrym,</w:t>
            </w:r>
          </w:p>
          <w:p w14:paraId="5B0C8F3B" w14:textId="77777777" w:rsidR="00616B74" w:rsidRPr="00A3613C" w:rsidRDefault="00616B74" w:rsidP="00616B74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616B74" w:rsidRPr="00A3613C" w14:paraId="1754D417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DDBE109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Literatura podstawowa</w:t>
            </w:r>
          </w:p>
        </w:tc>
      </w:tr>
      <w:tr w:rsidR="00616B74" w:rsidRPr="00A3613C" w14:paraId="18535C63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2DBFD9" w14:textId="77777777" w:rsidR="00616B74" w:rsidRPr="00616B74" w:rsidRDefault="00616B74" w:rsidP="00616B74">
            <w:pPr>
              <w:numPr>
                <w:ilvl w:val="0"/>
                <w:numId w:val="12"/>
              </w:numPr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</w:pPr>
            <w:r w:rsidRPr="00616B74">
              <w:rPr>
                <w:rFonts w:ascii="Times New Roman" w:eastAsia="Calibri" w:hAnsi="Times New Roman" w:cs="Times New Roman"/>
                <w:iCs/>
                <w:kern w:val="0"/>
                <w:sz w:val="22"/>
                <w:szCs w:val="22"/>
                <w14:ligatures w14:val="none"/>
              </w:rPr>
              <w:t>Teoretyczne i metodologiczne podstawy problemów z zakresu bezpieczeństwa</w:t>
            </w:r>
            <w:r w:rsidRPr="00616B7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, red. Z.  Ściborek, Z. Zamiar, Toruń 2016; </w:t>
            </w:r>
          </w:p>
          <w:p w14:paraId="067590F0" w14:textId="77777777" w:rsidR="00B33FE8" w:rsidRPr="00B33FE8" w:rsidRDefault="00616B74" w:rsidP="00616B74">
            <w:pPr>
              <w:numPr>
                <w:ilvl w:val="0"/>
                <w:numId w:val="12"/>
              </w:numPr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</w:pPr>
            <w:r w:rsidRPr="00616B74">
              <w:rPr>
                <w:rFonts w:ascii="Times New Roman" w:eastAsia="Calibri" w:hAnsi="Times New Roman" w:cs="Times New Roman"/>
                <w:iCs/>
                <w:kern w:val="0"/>
                <w:sz w:val="22"/>
                <w:szCs w:val="22"/>
                <w14:ligatures w14:val="none"/>
              </w:rPr>
              <w:t>Współczesne aspekty bezpieczeństwa państwa</w:t>
            </w:r>
            <w:r w:rsidRPr="00616B7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, red. K. Graczyk, G. Nagielski, T. Tabaczniuk, Zielona Góra 2015; W. Lis,</w:t>
            </w:r>
          </w:p>
          <w:p w14:paraId="7125ACD7" w14:textId="3CF7B8B3" w:rsidR="00616B74" w:rsidRPr="00616B74" w:rsidRDefault="00616B74" w:rsidP="00616B74">
            <w:pPr>
              <w:numPr>
                <w:ilvl w:val="0"/>
                <w:numId w:val="12"/>
              </w:numPr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</w:pPr>
            <w:r w:rsidRPr="00616B74">
              <w:rPr>
                <w:rFonts w:ascii="Times New Roman" w:eastAsia="Calibri" w:hAnsi="Times New Roman" w:cs="Times New Roman"/>
                <w:iCs/>
                <w:kern w:val="0"/>
                <w:sz w:val="22"/>
                <w:szCs w:val="22"/>
                <w14:ligatures w14:val="none"/>
              </w:rPr>
              <w:t>Bezpieczeństwo państwa</w:t>
            </w:r>
            <w:r w:rsidR="00B33FE8">
              <w:rPr>
                <w:rFonts w:ascii="Times New Roman" w:eastAsia="Calibri" w:hAnsi="Times New Roman" w:cs="Times New Roman"/>
                <w:iCs/>
                <w:kern w:val="0"/>
                <w:sz w:val="22"/>
                <w:szCs w:val="22"/>
                <w14:ligatures w14:val="none"/>
              </w:rPr>
              <w:t xml:space="preserve"> </w:t>
            </w:r>
            <w:r w:rsidRPr="00616B74">
              <w:rPr>
                <w:rFonts w:ascii="Times New Roman" w:eastAsia="Calibri" w:hAnsi="Times New Roman" w:cs="Times New Roman"/>
                <w:iCs/>
                <w:kern w:val="0"/>
                <w:sz w:val="22"/>
                <w:szCs w:val="22"/>
                <w14:ligatures w14:val="none"/>
              </w:rPr>
              <w:t>z zagadnienia podstawowe</w:t>
            </w:r>
            <w:r w:rsidRPr="00616B7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, Lublin 2014;</w:t>
            </w:r>
          </w:p>
          <w:p w14:paraId="4D64991C" w14:textId="77777777" w:rsidR="00616B74" w:rsidRPr="00616B74" w:rsidRDefault="00616B74" w:rsidP="00616B74">
            <w:pPr>
              <w:numPr>
                <w:ilvl w:val="0"/>
                <w:numId w:val="12"/>
              </w:numPr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</w:pPr>
            <w:r w:rsidRPr="00616B7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S. Pieprzny, </w:t>
            </w:r>
            <w:r w:rsidRPr="00616B74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>Administracja bezpieczeństwa i porządku publicznego,</w:t>
            </w:r>
            <w:r w:rsidRPr="00616B7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 Rzeszów 2014; </w:t>
            </w:r>
          </w:p>
          <w:p w14:paraId="27529B51" w14:textId="77777777" w:rsidR="00616B74" w:rsidRPr="00616B74" w:rsidRDefault="00616B74" w:rsidP="00616B74">
            <w:pPr>
              <w:numPr>
                <w:ilvl w:val="0"/>
                <w:numId w:val="12"/>
              </w:numPr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</w:pPr>
            <w:r w:rsidRPr="00616B7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K. Kuliniak-Jędrzejczyk,</w:t>
            </w:r>
            <w:r w:rsidRPr="00616B74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 xml:space="preserve"> Religie świata a bezpieczeństwo</w:t>
            </w:r>
            <w:r w:rsidRPr="00616B7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 xml:space="preserve">, Wrocław 2013; </w:t>
            </w:r>
          </w:p>
          <w:p w14:paraId="29E9BF8A" w14:textId="77777777" w:rsidR="00616B74" w:rsidRPr="00616B74" w:rsidRDefault="00616B74" w:rsidP="00616B74">
            <w:pPr>
              <w:numPr>
                <w:ilvl w:val="0"/>
                <w:numId w:val="12"/>
              </w:numPr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</w:pPr>
            <w:r w:rsidRPr="00616B7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A. Cichy, C. Szyjko, </w:t>
            </w:r>
            <w:r w:rsidRPr="00616B74">
              <w:rPr>
                <w:rFonts w:ascii="Times New Roman" w:eastAsia="Calibri" w:hAnsi="Times New Roman" w:cs="Times New Roman"/>
                <w:iCs/>
                <w:kern w:val="0"/>
                <w:sz w:val="22"/>
                <w:szCs w:val="22"/>
                <w14:ligatures w14:val="none"/>
              </w:rPr>
              <w:t xml:space="preserve">Bezpieczeństwo międzynarodowe w teorii i praktyce. Wybrane aspekty prawno-organizacyjne, </w:t>
            </w:r>
            <w:r w:rsidRPr="00616B7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 xml:space="preserve">Warszawa 2014; </w:t>
            </w:r>
          </w:p>
          <w:p w14:paraId="5D848745" w14:textId="77777777" w:rsidR="00616B74" w:rsidRPr="0045424C" w:rsidRDefault="00616B74" w:rsidP="00616B74">
            <w:pPr>
              <w:numPr>
                <w:ilvl w:val="0"/>
                <w:numId w:val="12"/>
              </w:numPr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</w:pPr>
            <w:r w:rsidRPr="00616B74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J. Karpowicz</w:t>
            </w:r>
            <w:r w:rsidRPr="00616B74">
              <w:rPr>
                <w:rFonts w:ascii="Times New Roman" w:eastAsia="Calibri" w:hAnsi="Times New Roman" w:cs="Times New Roman"/>
                <w:iCs/>
                <w:kern w:val="0"/>
                <w:sz w:val="22"/>
                <w:szCs w:val="22"/>
                <w14:ligatures w14:val="none"/>
              </w:rPr>
              <w:t>, Strategia bezpieczeństwa państwa demokratycznego, Dęblin 2013;</w:t>
            </w:r>
          </w:p>
          <w:p w14:paraId="61B282DE" w14:textId="54529ECA" w:rsidR="0045424C" w:rsidRPr="00616B74" w:rsidRDefault="0045424C" w:rsidP="00616B74">
            <w:pPr>
              <w:numPr>
                <w:ilvl w:val="0"/>
                <w:numId w:val="12"/>
              </w:numPr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</w:pPr>
            <w:r w:rsidRPr="004542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>Państwo w czasach zmiany, (red.) M.</w:t>
            </w:r>
            <w:r w:rsidR="00B33FE8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 xml:space="preserve"> </w:t>
            </w:r>
            <w:r w:rsidRPr="004542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>Pietraś,</w:t>
            </w:r>
            <w:r w:rsidR="00B33FE8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 xml:space="preserve"> </w:t>
            </w:r>
            <w:r w:rsidRPr="004542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>I.</w:t>
            </w:r>
            <w:r w:rsidR="00B33FE8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 xml:space="preserve"> </w:t>
            </w:r>
            <w:r w:rsidRPr="004542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>Hoffman, S.</w:t>
            </w:r>
            <w:r w:rsidR="00B33FE8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 xml:space="preserve"> </w:t>
            </w:r>
            <w:r w:rsidRPr="004542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14:ligatures w14:val="none"/>
              </w:rPr>
              <w:t>Michałowski, Lublin 2018.</w:t>
            </w:r>
          </w:p>
        </w:tc>
      </w:tr>
      <w:tr w:rsidR="00616B74" w:rsidRPr="00A3613C" w14:paraId="5429D255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0BFE5B" w14:textId="77777777" w:rsidR="00616B74" w:rsidRPr="00A3613C" w:rsidRDefault="00616B74" w:rsidP="00616B7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616B74" w:rsidRPr="00A3613C" w14:paraId="2E3C43DD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803E78D" w14:textId="40BEF734" w:rsidR="00B33FE8" w:rsidRPr="00B33FE8" w:rsidRDefault="00B33FE8" w:rsidP="00B33FE8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3FE8">
              <w:rPr>
                <w:rFonts w:ascii="Times New Roman" w:hAnsi="Times New Roman" w:cs="Times New Roman"/>
                <w:sz w:val="22"/>
                <w:szCs w:val="22"/>
              </w:rPr>
              <w:t>Heywood, Ideologie polityczne: wprowadzenie (przekł. M. Habura, N. Orłowska, D. Stasiak),</w:t>
            </w:r>
          </w:p>
          <w:p w14:paraId="28D6FDBE" w14:textId="77777777" w:rsidR="00B33FE8" w:rsidRPr="00B33FE8" w:rsidRDefault="00B33FE8" w:rsidP="00B33FE8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3FE8">
              <w:rPr>
                <w:rFonts w:ascii="Times New Roman" w:hAnsi="Times New Roman" w:cs="Times New Roman"/>
                <w:sz w:val="22"/>
                <w:szCs w:val="22"/>
              </w:rPr>
              <w:t>Warszawa 2008,</w:t>
            </w:r>
          </w:p>
          <w:p w14:paraId="5AD11C9E" w14:textId="1A4C7167" w:rsidR="00B33FE8" w:rsidRPr="00B33FE8" w:rsidRDefault="00B33FE8" w:rsidP="00B33FE8">
            <w:pPr>
              <w:pStyle w:val="Akapitzlist"/>
              <w:numPr>
                <w:ilvl w:val="1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3FE8">
              <w:rPr>
                <w:rFonts w:ascii="Times New Roman" w:hAnsi="Times New Roman" w:cs="Times New Roman"/>
                <w:sz w:val="22"/>
                <w:szCs w:val="22"/>
              </w:rPr>
              <w:t>Sylwestrzak, Historia doktryn politycznych i prawnych, Warszawa 2015,</w:t>
            </w:r>
          </w:p>
          <w:p w14:paraId="2343B4E3" w14:textId="77777777" w:rsidR="00B33FE8" w:rsidRPr="00B33FE8" w:rsidRDefault="00B33FE8" w:rsidP="00B33FE8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3FE8">
              <w:rPr>
                <w:rFonts w:ascii="Times New Roman" w:hAnsi="Times New Roman" w:cs="Times New Roman"/>
                <w:sz w:val="22"/>
                <w:szCs w:val="22"/>
              </w:rPr>
              <w:t>H. Izdebski, Fundamenty współczesnych państw, Warszawa 2007,</w:t>
            </w:r>
          </w:p>
          <w:p w14:paraId="777F39FC" w14:textId="77777777" w:rsidR="00B33FE8" w:rsidRPr="00B33FE8" w:rsidRDefault="00B33FE8" w:rsidP="00B33FE8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3FE8">
              <w:rPr>
                <w:rFonts w:ascii="Times New Roman" w:hAnsi="Times New Roman" w:cs="Times New Roman"/>
                <w:sz w:val="22"/>
                <w:szCs w:val="22"/>
              </w:rPr>
              <w:t>K. Chojnicka, H. Olszewski, Historia Doktryn Politycznych i Prawnych, Poznań 2004,</w:t>
            </w:r>
          </w:p>
          <w:p w14:paraId="66E06A5C" w14:textId="77777777" w:rsidR="00B33FE8" w:rsidRPr="00B33FE8" w:rsidRDefault="00B33FE8" w:rsidP="00B33FE8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3FE8">
              <w:rPr>
                <w:rFonts w:ascii="Times New Roman" w:hAnsi="Times New Roman" w:cs="Times New Roman"/>
                <w:sz w:val="22"/>
                <w:szCs w:val="22"/>
              </w:rPr>
              <w:t>Słownik historii doktryn politycznych, red. M. Jaskólski, Warszawa 1997,</w:t>
            </w:r>
          </w:p>
          <w:p w14:paraId="4A5D4854" w14:textId="77777777" w:rsidR="00B33FE8" w:rsidRPr="00B33FE8" w:rsidRDefault="00B33FE8" w:rsidP="00B33FE8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3FE8">
              <w:rPr>
                <w:rFonts w:ascii="Times New Roman" w:hAnsi="Times New Roman" w:cs="Times New Roman"/>
                <w:sz w:val="22"/>
                <w:szCs w:val="22"/>
              </w:rPr>
              <w:t>W. Kozub-Ciembroniewicz K. Chojnicka, Doktryny polityczne XIX i XX wieku, Kraków 2000,</w:t>
            </w:r>
          </w:p>
          <w:p w14:paraId="77AC907C" w14:textId="77777777" w:rsidR="00B33FE8" w:rsidRPr="00B33FE8" w:rsidRDefault="00B33FE8" w:rsidP="00B33FE8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3FE8">
              <w:rPr>
                <w:rFonts w:ascii="Times New Roman" w:hAnsi="Times New Roman" w:cs="Times New Roman"/>
                <w:sz w:val="22"/>
                <w:szCs w:val="22"/>
              </w:rPr>
              <w:t>Z. Nowakowski, Bezpieczeństwo państwa w koncepcjach programowych partii parlamentarnych</w:t>
            </w:r>
          </w:p>
          <w:p w14:paraId="63C596EF" w14:textId="322FDA50" w:rsidR="00616B74" w:rsidRPr="00B33FE8" w:rsidRDefault="00B33FE8" w:rsidP="00B33FE8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3FE8">
              <w:rPr>
                <w:rFonts w:ascii="Times New Roman" w:hAnsi="Times New Roman" w:cs="Times New Roman"/>
                <w:sz w:val="22"/>
                <w:szCs w:val="22"/>
              </w:rPr>
              <w:t>w Polsce po 1989 roku, Warszawa 2009.</w:t>
            </w:r>
          </w:p>
        </w:tc>
      </w:tr>
      <w:tr w:rsidR="00616B74" w:rsidRPr="00A3613C" w14:paraId="66729086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904447C" w14:textId="77777777" w:rsidR="00616B74" w:rsidRPr="00A3613C" w:rsidRDefault="00616B74" w:rsidP="00616B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3C422AA" w14:textId="77777777" w:rsidR="00616B74" w:rsidRPr="00A3613C" w:rsidRDefault="00616B74" w:rsidP="00616B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616B74" w:rsidRPr="00A3613C" w14:paraId="33A62C70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1F4A6E" w14:textId="77777777" w:rsidR="00616B74" w:rsidRPr="00A3613C" w:rsidRDefault="00616B74" w:rsidP="00616B7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studiów: 2 godziny w czasie zjazdów</w:t>
            </w:r>
          </w:p>
        </w:tc>
        <w:tc>
          <w:tcPr>
            <w:tcW w:w="5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77516D" w14:textId="77777777" w:rsidR="00616B74" w:rsidRPr="00A3613C" w:rsidRDefault="00616B74" w:rsidP="00616B7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: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1</w:t>
            </w: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  <w:p w14:paraId="2F7B98EB" w14:textId="77777777" w:rsidR="00616B74" w:rsidRPr="00A3613C" w:rsidRDefault="00616B74" w:rsidP="00616B7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16B74" w:rsidRPr="00A3613C" w14:paraId="2EA88BCB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039FF4" w14:textId="77777777" w:rsidR="00616B74" w:rsidRPr="00A3613C" w:rsidRDefault="00616B74" w:rsidP="00616B7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</w:t>
            </w:r>
          </w:p>
        </w:tc>
        <w:tc>
          <w:tcPr>
            <w:tcW w:w="5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1C1041" w14:textId="7536A25F" w:rsidR="00616B74" w:rsidRPr="00A3613C" w:rsidRDefault="008A796A" w:rsidP="00616B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40</w:t>
            </w:r>
          </w:p>
        </w:tc>
      </w:tr>
      <w:tr w:rsidR="00616B74" w:rsidRPr="00A3613C" w14:paraId="4479D335" w14:textId="77777777" w:rsidTr="0018416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07C018" w14:textId="77777777" w:rsidR="00616B74" w:rsidRPr="00A3613C" w:rsidRDefault="00616B74" w:rsidP="00616B7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6107ED" w14:textId="7E762A51" w:rsidR="00616B74" w:rsidRPr="00A3613C" w:rsidRDefault="008A796A" w:rsidP="00616B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5773B59A" w14:textId="77777777" w:rsidR="00616B74" w:rsidRDefault="00616B74"/>
    <w:sectPr w:rsidR="00616B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CB94720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NewRomanPSMT"/>
        <w:b w:val="0"/>
        <w:bCs w:val="0"/>
        <w:color w:val="000000"/>
        <w:w w:val="100"/>
        <w:sz w:val="22"/>
        <w:szCs w:val="22"/>
      </w:r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B7D94"/>
    <w:multiLevelType w:val="hybridMultilevel"/>
    <w:tmpl w:val="813C61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E1F19"/>
    <w:multiLevelType w:val="hybridMultilevel"/>
    <w:tmpl w:val="64569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590750"/>
    <w:multiLevelType w:val="hybridMultilevel"/>
    <w:tmpl w:val="813C6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0602F"/>
    <w:multiLevelType w:val="hybridMultilevel"/>
    <w:tmpl w:val="7D0E2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55C3A0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B81F1B"/>
    <w:multiLevelType w:val="hybridMultilevel"/>
    <w:tmpl w:val="1BA623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02584"/>
    <w:multiLevelType w:val="hybridMultilevel"/>
    <w:tmpl w:val="A9DE2356"/>
    <w:lvl w:ilvl="0" w:tplc="E2FEEEE4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BD5B85"/>
    <w:multiLevelType w:val="hybridMultilevel"/>
    <w:tmpl w:val="B3984810"/>
    <w:lvl w:ilvl="0" w:tplc="E2FEEEE4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036519">
    <w:abstractNumId w:val="7"/>
  </w:num>
  <w:num w:numId="2" w16cid:durableId="1926576096">
    <w:abstractNumId w:val="4"/>
  </w:num>
  <w:num w:numId="3" w16cid:durableId="862399080">
    <w:abstractNumId w:val="3"/>
  </w:num>
  <w:num w:numId="4" w16cid:durableId="261112814">
    <w:abstractNumId w:val="9"/>
  </w:num>
  <w:num w:numId="5" w16cid:durableId="17388198">
    <w:abstractNumId w:val="1"/>
  </w:num>
  <w:num w:numId="6" w16cid:durableId="87117144">
    <w:abstractNumId w:val="11"/>
  </w:num>
  <w:num w:numId="7" w16cid:durableId="1865901200">
    <w:abstractNumId w:val="6"/>
  </w:num>
  <w:num w:numId="8" w16cid:durableId="568347491">
    <w:abstractNumId w:val="8"/>
  </w:num>
  <w:num w:numId="9" w16cid:durableId="1944876789">
    <w:abstractNumId w:val="2"/>
  </w:num>
  <w:num w:numId="10" w16cid:durableId="3361187">
    <w:abstractNumId w:val="0"/>
  </w:num>
  <w:num w:numId="11" w16cid:durableId="691498046">
    <w:abstractNumId w:val="5"/>
  </w:num>
  <w:num w:numId="12" w16cid:durableId="766922957">
    <w:abstractNumId w:val="13"/>
  </w:num>
  <w:num w:numId="13" w16cid:durableId="509150318">
    <w:abstractNumId w:val="14"/>
  </w:num>
  <w:num w:numId="14" w16cid:durableId="713042055">
    <w:abstractNumId w:val="10"/>
  </w:num>
  <w:num w:numId="15" w16cid:durableId="10440589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B74"/>
    <w:rsid w:val="0045424C"/>
    <w:rsid w:val="0051441F"/>
    <w:rsid w:val="00537700"/>
    <w:rsid w:val="00554D44"/>
    <w:rsid w:val="00616B74"/>
    <w:rsid w:val="006D629C"/>
    <w:rsid w:val="0085328E"/>
    <w:rsid w:val="008A796A"/>
    <w:rsid w:val="00B3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A311B4"/>
  <w15:chartTrackingRefBased/>
  <w15:docId w15:val="{1179DBA5-9B19-4033-BBD1-9635E6382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B74"/>
  </w:style>
  <w:style w:type="paragraph" w:styleId="Nagwek1">
    <w:name w:val="heading 1"/>
    <w:basedOn w:val="Normalny"/>
    <w:next w:val="Normalny"/>
    <w:link w:val="Nagwek1Znak"/>
    <w:uiPriority w:val="9"/>
    <w:qFormat/>
    <w:rsid w:val="00616B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6B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6B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6B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6B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6B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6B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6B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6B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6B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6B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6B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6B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6B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6B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6B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6B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6B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6B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6B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6B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6B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6B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6B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6B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6B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6B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6B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6B74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rsid w:val="00616B74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6B74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616B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1300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2025-02-05T04:18:00Z</dcterms:created>
  <dcterms:modified xsi:type="dcterms:W3CDTF">2025-07-11T06:52:00Z</dcterms:modified>
</cp:coreProperties>
</file>