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2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673"/>
      </w:tblGrid>
      <w:tr w:rsidR="006B364C" w:rsidRPr="009E5CA5" w14:paraId="4422A1F9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A55A1DE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2F8589" w14:textId="1B7A159D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Orzecznictwo Trybunału Konstytucyjnego</w:t>
            </w:r>
          </w:p>
        </w:tc>
      </w:tr>
      <w:tr w:rsidR="006B364C" w:rsidRPr="009E5CA5" w14:paraId="66B4A722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88D0003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46443D" w14:textId="69F54344" w:rsidR="006B364C" w:rsidRPr="009E5CA5" w:rsidRDefault="00D468A4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6B364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6B364C" w:rsidRPr="009E5CA5" w14:paraId="5A8B4833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B7CAE6D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3C54BA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6B364C" w:rsidRPr="009E5CA5" w14:paraId="475793D9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C5DA432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70D993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6B364C" w:rsidRPr="009E5CA5" w14:paraId="748A6DBD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CFD58F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408DBE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Obowiązkowe</w:t>
            </w:r>
          </w:p>
        </w:tc>
      </w:tr>
      <w:tr w:rsidR="006B364C" w:rsidRPr="009E5CA5" w14:paraId="4F77AD7B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A0E2F1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2F3E59" w14:textId="6B6C9078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B364C" w:rsidRPr="009E5CA5" w14:paraId="2185D2F1" w14:textId="77777777" w:rsidTr="006B364C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D4716A9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3D161A" w14:textId="4E086176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stopień, 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V </w:t>
            </w: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semestr</w:t>
            </w:r>
          </w:p>
        </w:tc>
      </w:tr>
      <w:tr w:rsidR="006B364C" w:rsidRPr="009E5CA5" w14:paraId="08899A98" w14:textId="77777777" w:rsidTr="006B364C">
        <w:trPr>
          <w:trHeight w:val="380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FA25D1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6B364C" w:rsidRPr="009E5CA5" w14:paraId="691D6ADE" w14:textId="77777777" w:rsidTr="006B364C">
        <w:trPr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1FC80A1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DF57EF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3D558D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07C117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87520A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33CCC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203EFE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6B364C" w:rsidRPr="009E5CA5" w14:paraId="33D4E8D1" w14:textId="77777777" w:rsidTr="006B364C">
        <w:trPr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99A343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19084C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6025F9" w14:textId="3BB0AD34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9D9D8B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B1C068" w14:textId="711F1E38" w:rsidR="006B364C" w:rsidRPr="009E5CA5" w:rsidRDefault="006B364C" w:rsidP="006B36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2F0045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2A0A2B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64C" w:rsidRPr="009E5CA5" w14:paraId="0AA486B1" w14:textId="77777777" w:rsidTr="006B364C">
        <w:trPr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F46190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4F774C" w14:textId="030544BD" w:rsidR="006B364C" w:rsidRPr="009E5CA5" w:rsidRDefault="00F41607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0A256" w14:textId="03F16E4C" w:rsidR="006B364C" w:rsidRPr="009E5CA5" w:rsidRDefault="006B364C" w:rsidP="005356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807D4D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53FECB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26320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819100" w14:textId="77777777" w:rsidR="006B364C" w:rsidRPr="009E5CA5" w:rsidRDefault="006B364C" w:rsidP="0053564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64C" w:rsidRPr="009E5CA5" w14:paraId="45583565" w14:textId="77777777" w:rsidTr="006B364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4CFF809" w14:textId="77777777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B52E7" w14:textId="51D73E7B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6B364C" w:rsidRPr="009E5CA5" w14:paraId="2A4E2E0C" w14:textId="77777777" w:rsidTr="006B364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6405367C" w14:textId="77777777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C3C32" w14:textId="36FDF4CE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Celem prowadzonych zajęć jest merytoryczna analiza dorobku orzeczniczego polskiego Trybunału Konstytucyjnego.  </w:t>
            </w:r>
          </w:p>
        </w:tc>
      </w:tr>
      <w:tr w:rsidR="006B364C" w:rsidRPr="009E5CA5" w14:paraId="2899B2CB" w14:textId="77777777" w:rsidTr="006B364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493AB5" w14:textId="77777777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5DFC02" w14:textId="5454A345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wykład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konwersatoryjny, 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dyskusj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prezentacj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multimedialn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a, 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akt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normatywn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e </w:t>
            </w: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 orzecznict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wo</w:t>
            </w:r>
          </w:p>
        </w:tc>
      </w:tr>
      <w:tr w:rsidR="006B364C" w:rsidRPr="009E5CA5" w14:paraId="3816F10B" w14:textId="77777777" w:rsidTr="006B364C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6CD5F6" w14:textId="77777777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17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9590B66" w14:textId="77777777" w:rsidR="006B364C" w:rsidRPr="009E5CA5" w:rsidRDefault="006B364C" w:rsidP="005356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akty prawne, materiały źródłowe, tablica szkolna.</w:t>
            </w:r>
          </w:p>
        </w:tc>
      </w:tr>
      <w:tr w:rsidR="006B364C" w:rsidRPr="009E5CA5" w14:paraId="10BF030E" w14:textId="77777777" w:rsidTr="006B364C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29F42F" w14:textId="77777777" w:rsidR="006B364C" w:rsidRPr="009E5CA5" w:rsidRDefault="006B36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8989F6" w14:textId="77777777" w:rsidR="006B364C" w:rsidRPr="009E5CA5" w:rsidRDefault="006B36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7E88DE" w14:textId="77777777" w:rsidR="006B364C" w:rsidRPr="009E5CA5" w:rsidRDefault="006B36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559911" w14:textId="77777777" w:rsidR="006B364C" w:rsidRPr="009E5CA5" w:rsidRDefault="006B364C" w:rsidP="0053564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DE1B03" w14:textId="77777777" w:rsidR="006B364C" w:rsidRPr="009E5CA5" w:rsidRDefault="006B364C" w:rsidP="0053564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6B364C" w:rsidRPr="009E5CA5" w14:paraId="6FE7A775" w14:textId="77777777" w:rsidTr="000456FC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E4F613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2"/>
          </w:tcPr>
          <w:p w14:paraId="47985399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K_W02 </w:t>
            </w:r>
          </w:p>
          <w:p w14:paraId="1D46F473" w14:textId="77777777" w:rsidR="006B364C" w:rsidRDefault="006B364C" w:rsidP="006B36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>K_W03</w:t>
            </w:r>
          </w:p>
          <w:p w14:paraId="5DECB3EE" w14:textId="4BFF5404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BF8F7F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Mar>
              <w:left w:w="106" w:type="dxa"/>
            </w:tcMar>
          </w:tcPr>
          <w:p w14:paraId="3BF0D367" w14:textId="678C84B4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/>
                <w:sz w:val="20"/>
                <w:szCs w:val="20"/>
              </w:rPr>
              <w:t>zna i rozumie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podstawy prawne</w:t>
            </w:r>
            <w:r>
              <w:rPr>
                <w:rFonts w:ascii="Times New Roman" w:hAnsi="Times New Roman"/>
                <w:sz w:val="20"/>
                <w:szCs w:val="20"/>
              </w:rPr>
              <w:t>, pozycję ustrojową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organizację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Trybunału Konstytucyjnego w Polsce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20EAEF36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Ocena aktywności, egzamin ustny.</w:t>
            </w:r>
          </w:p>
        </w:tc>
      </w:tr>
      <w:tr w:rsidR="006B364C" w:rsidRPr="009E5CA5" w14:paraId="5ED2585F" w14:textId="77777777" w:rsidTr="004837F3">
        <w:trPr>
          <w:trHeight w:val="38"/>
          <w:jc w:val="center"/>
        </w:trPr>
        <w:tc>
          <w:tcPr>
            <w:tcW w:w="15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10203A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</w:tcPr>
          <w:p w14:paraId="2F303785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K_W05 </w:t>
            </w:r>
          </w:p>
          <w:p w14:paraId="03441B4A" w14:textId="67CEB2E5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K_W07 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D79B74" w14:textId="23B67752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767" w:type="dxa"/>
            <w:gridSpan w:val="7"/>
            <w:tcBorders>
              <w:bottom w:val="single" w:sz="4" w:space="0" w:color="auto"/>
            </w:tcBorders>
            <w:tcMar>
              <w:left w:w="106" w:type="dxa"/>
            </w:tcMar>
          </w:tcPr>
          <w:p w14:paraId="7873AC79" w14:textId="53F64F61" w:rsidR="006B364C" w:rsidRPr="006B364C" w:rsidRDefault="006B364C" w:rsidP="006B36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Student określa funkcje Trybunału Konstytucyjnego 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8AC8E0E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Ocena aktywności, egzamin ustny </w:t>
            </w:r>
          </w:p>
        </w:tc>
      </w:tr>
      <w:tr w:rsidR="006B364C" w:rsidRPr="009E5CA5" w14:paraId="0548D5AE" w14:textId="77777777" w:rsidTr="00C57D1C">
        <w:trPr>
          <w:trHeight w:val="372"/>
          <w:jc w:val="center"/>
        </w:trPr>
        <w:tc>
          <w:tcPr>
            <w:tcW w:w="15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951193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</w:tcPr>
          <w:p w14:paraId="73ECE96B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K_W02 </w:t>
            </w:r>
          </w:p>
          <w:p w14:paraId="62C39199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K_W05 </w:t>
            </w:r>
          </w:p>
          <w:p w14:paraId="03B591CC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K_W06 </w:t>
            </w:r>
          </w:p>
          <w:p w14:paraId="67A6F235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K_W07 </w:t>
            </w:r>
          </w:p>
          <w:p w14:paraId="0AA6D6D0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K_W08 </w:t>
            </w:r>
          </w:p>
          <w:p w14:paraId="3D8BB132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K_U04 </w:t>
            </w:r>
          </w:p>
          <w:p w14:paraId="33199784" w14:textId="77777777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K_U05 </w:t>
            </w:r>
          </w:p>
          <w:p w14:paraId="496F0CD6" w14:textId="77D68050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K_U09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4C4C14" w14:textId="34A31A2D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</w:tcBorders>
            <w:tcMar>
              <w:left w:w="106" w:type="dxa"/>
            </w:tcMar>
          </w:tcPr>
          <w:p w14:paraId="3E0F690B" w14:textId="18C0D833" w:rsidR="006B364C" w:rsidRPr="006B364C" w:rsidRDefault="006B364C" w:rsidP="006B36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>Student zna mechanizm inicjatywy kontroli konstytucyjności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14:paraId="703D934D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Ocena aktywności, egzamin ustny.</w:t>
            </w:r>
          </w:p>
        </w:tc>
      </w:tr>
      <w:tr w:rsidR="006B364C" w:rsidRPr="009E5CA5" w14:paraId="1B7FE292" w14:textId="77777777" w:rsidTr="006B364C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3A2C7B" w14:textId="3F6E71AD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</w:tcPr>
          <w:p w14:paraId="60978BBF" w14:textId="77777777" w:rsid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0FD14E12" w14:textId="77777777" w:rsid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25AE8B35" w14:textId="30D8FF92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K_U01 </w:t>
            </w:r>
          </w:p>
          <w:p w14:paraId="341F3E1B" w14:textId="77777777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K_U04 </w:t>
            </w:r>
          </w:p>
          <w:p w14:paraId="2D9E6116" w14:textId="77777777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K_U05 </w:t>
            </w:r>
          </w:p>
          <w:p w14:paraId="2FFF4336" w14:textId="77777777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K_U06 </w:t>
            </w:r>
          </w:p>
          <w:p w14:paraId="6EC24DA0" w14:textId="77777777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K_U08 </w:t>
            </w:r>
          </w:p>
          <w:p w14:paraId="16B51F11" w14:textId="2F28D941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758F04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Mar>
              <w:left w:w="106" w:type="dxa"/>
            </w:tcMar>
          </w:tcPr>
          <w:p w14:paraId="6D83AD2C" w14:textId="35F2BF30" w:rsidR="006B364C" w:rsidRPr="006B364C" w:rsidRDefault="006B364C" w:rsidP="006B36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>krytycznie analizuje teksty orzeczeń Trybunału Konstytucyjnego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wskazuj</w:t>
            </w:r>
            <w:r>
              <w:rPr>
                <w:rFonts w:ascii="Times New Roman" w:hAnsi="Times New Roman"/>
                <w:sz w:val="20"/>
                <w:szCs w:val="20"/>
              </w:rPr>
              <w:t>ąc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błędy legislacyjne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skutkujące stwierdzeniem niezgodności aktów normatywnych z Konstytucją RP i wymienia zasady tzw. przyzwoitej legislacji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F975409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dyskusji, studium przypadku </w:t>
            </w: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 xml:space="preserve">w oparciu o pracę z tekstem prawnym (w tym: dokonywanie analizy </w:t>
            </w: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br/>
              <w:t>i syntezy, interpretowanie przypadku, argumentowanie, uzasadnianie, wnioskowanie).</w:t>
            </w:r>
          </w:p>
        </w:tc>
      </w:tr>
      <w:tr w:rsidR="006B364C" w:rsidRPr="009E5CA5" w14:paraId="19845E43" w14:textId="77777777" w:rsidTr="006B364C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23B3EA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</w:tcPr>
          <w:p w14:paraId="6B9D61DB" w14:textId="5BDF708C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>K_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U07</w:t>
            </w:r>
            <w:r w:rsidRPr="006B364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49F9CEA4" w14:textId="4109588A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7952C8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Mar>
              <w:left w:w="106" w:type="dxa"/>
            </w:tcMar>
          </w:tcPr>
          <w:p w14:paraId="3C697708" w14:textId="4A57ED4F" w:rsidR="006B364C" w:rsidRPr="006B364C" w:rsidRDefault="006B364C" w:rsidP="006B36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posługuje się prawidłową terminologią w odniesieniu do omawianych zagadnień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5084679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jw.</w:t>
            </w:r>
          </w:p>
        </w:tc>
      </w:tr>
      <w:tr w:rsidR="006B364C" w:rsidRPr="009E5CA5" w14:paraId="4788A2AB" w14:textId="77777777" w:rsidTr="006B364C">
        <w:trPr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221C13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9BC891" w14:textId="539D4C58" w:rsidR="006B364C" w:rsidRPr="006B364C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6A16FA" w14:textId="77777777" w:rsidR="006B364C" w:rsidRPr="009E5CA5" w:rsidRDefault="006B364C" w:rsidP="006B364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Mar>
              <w:left w:w="106" w:type="dxa"/>
            </w:tcMar>
          </w:tcPr>
          <w:p w14:paraId="3353857B" w14:textId="0175CCF5" w:rsidR="006B364C" w:rsidRPr="006B364C" w:rsidRDefault="006B364C" w:rsidP="006B36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rozpoznaje w systemie prawa rozwiązania budzące uzasadnione wątpliwości co do zgodności z Konstytucją RP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BB1FCB" w14:textId="77777777" w:rsidR="006B364C" w:rsidRPr="006B364C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Odpowiedzialne podejście </w:t>
            </w:r>
          </w:p>
          <w:p w14:paraId="263482BF" w14:textId="41BF9459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 zadań, samoocena.</w:t>
            </w:r>
          </w:p>
        </w:tc>
      </w:tr>
      <w:tr w:rsidR="006B364C" w:rsidRPr="009E5CA5" w14:paraId="368FAC92" w14:textId="77777777" w:rsidTr="006B364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E8FFF4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AFEFCF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6B364C" w:rsidRPr="009E5CA5" w14:paraId="587A86B5" w14:textId="6198768E" w:rsidTr="006B364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DC24BF" w14:textId="74AE3BE2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Wykład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09135B" w14:textId="77777777" w:rsidR="006B364C" w:rsidRPr="009E5CA5" w:rsidRDefault="006B364C" w:rsidP="006B364C">
            <w:pPr>
              <w:suppressAutoHyphens/>
              <w:spacing w:after="0" w:line="240" w:lineRule="auto"/>
              <w:ind w:left="4040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64C" w:rsidRPr="009E5CA5" w14:paraId="4EC60C3E" w14:textId="77777777" w:rsidTr="00374EB4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2" w:type="dxa"/>
            </w:tcMar>
            <w:vAlign w:val="center"/>
          </w:tcPr>
          <w:p w14:paraId="6F8EA6FE" w14:textId="0A6249D6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Podstawy prawne i organizacja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>Trybunału Konstytucyjnego w Polsce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A944ED" w14:textId="69BBE37E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EPW1,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EPW2 EPW3</w:t>
            </w: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6B364C" w:rsidRPr="009E5CA5" w14:paraId="2C3745E1" w14:textId="77777777" w:rsidTr="00374EB4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2" w:type="dxa"/>
            </w:tcMar>
            <w:vAlign w:val="center"/>
          </w:tcPr>
          <w:p w14:paraId="1ED07FB1" w14:textId="2797FAFA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>Pozycja ustrojowa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Trybunału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>Konstytucyjnego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BF629F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EPW1. EPU3</w:t>
            </w:r>
          </w:p>
        </w:tc>
      </w:tr>
      <w:tr w:rsidR="006B364C" w:rsidRPr="009E5CA5" w14:paraId="5344BCF2" w14:textId="77777777" w:rsidTr="00374EB4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2" w:type="dxa"/>
            </w:tcMar>
            <w:vAlign w:val="center"/>
          </w:tcPr>
          <w:p w14:paraId="5F809397" w14:textId="1C557D35" w:rsidR="006B364C" w:rsidRPr="006B364C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>Funkcje Trybunału Konstytucyjnego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AAF34D" w14:textId="4A741529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EPW2, EPW3, EPU1 EPU2 EU3 </w:t>
            </w:r>
          </w:p>
        </w:tc>
      </w:tr>
      <w:tr w:rsidR="006B364C" w:rsidRPr="009E5CA5" w14:paraId="438AE2BB" w14:textId="77777777" w:rsidTr="00374EB4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2" w:type="dxa"/>
            </w:tcMar>
            <w:vAlign w:val="center"/>
          </w:tcPr>
          <w:p w14:paraId="0F115FF1" w14:textId="377D3A00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>Inicjatywa kontroli konstytucyjności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case study.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9A53BB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EPW3, EPU2</w:t>
            </w:r>
          </w:p>
        </w:tc>
      </w:tr>
      <w:tr w:rsidR="006B364C" w:rsidRPr="009E5CA5" w14:paraId="6FFE5BEF" w14:textId="77777777" w:rsidTr="006B364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92" w:type="dxa"/>
            </w:tcMar>
            <w:vAlign w:val="center"/>
          </w:tcPr>
          <w:p w14:paraId="422909CF" w14:textId="6CE67652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Rozstrzygnięcia Trybunału Konstytucyjnego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>rozwiązywanie praktycznych przykładów (case study)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6A16ED" w14:textId="50212872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EPW3, EPU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 EPU2 EU3 EPK1</w:t>
            </w:r>
          </w:p>
        </w:tc>
      </w:tr>
      <w:tr w:rsidR="006B364C" w:rsidRPr="009E5CA5" w14:paraId="44CE4707" w14:textId="77777777" w:rsidTr="006B364C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92" w:type="dxa"/>
            </w:tcMar>
            <w:vAlign w:val="center"/>
          </w:tcPr>
          <w:p w14:paraId="0C19D7DD" w14:textId="148BB71C" w:rsidR="006B364C" w:rsidRPr="006B364C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Zasady tzw. przyzwoitej legislacji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t xml:space="preserve">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>dyskusja, praca w grupach na zasadzie stolików eksperckich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7AEC76" w14:textId="183A3A31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EPW3, EPU1 EPU2 EU3 EPK1</w:t>
            </w:r>
          </w:p>
        </w:tc>
      </w:tr>
      <w:tr w:rsidR="006B364C" w:rsidRPr="009E5CA5" w14:paraId="4B13F299" w14:textId="10F10250" w:rsidTr="006B364C">
        <w:trPr>
          <w:trHeight w:val="324"/>
          <w:jc w:val="center"/>
        </w:trPr>
        <w:tc>
          <w:tcPr>
            <w:tcW w:w="8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  <w:vAlign w:val="center"/>
          </w:tcPr>
          <w:p w14:paraId="3887C16B" w14:textId="5AB780D5" w:rsidR="006B364C" w:rsidRPr="006B364C" w:rsidRDefault="006B364C" w:rsidP="006B36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364C">
              <w:rPr>
                <w:rFonts w:ascii="Times New Roman" w:hAnsi="Times New Roman"/>
                <w:sz w:val="20"/>
                <w:szCs w:val="20"/>
              </w:rPr>
              <w:t xml:space="preserve">Analiza wybranych orzeczeń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 xml:space="preserve">Trybunału Konstytucyjnego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B364C">
              <w:rPr>
                <w:rFonts w:ascii="Times New Roman" w:hAnsi="Times New Roman"/>
                <w:sz w:val="20"/>
                <w:szCs w:val="20"/>
              </w:rPr>
              <w:t>rozwiązywanie kazusów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F2624D" w14:textId="3EDFC404" w:rsidR="006B364C" w:rsidRPr="006B364C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EPW3, EPU1 EPU2 EU3 EPK1</w:t>
            </w:r>
          </w:p>
        </w:tc>
      </w:tr>
      <w:tr w:rsidR="006B364C" w:rsidRPr="009E5CA5" w14:paraId="00F94DE9" w14:textId="02F73330" w:rsidTr="006B364C">
        <w:trPr>
          <w:trHeight w:val="277"/>
          <w:jc w:val="center"/>
        </w:trPr>
        <w:tc>
          <w:tcPr>
            <w:tcW w:w="8916" w:type="dxa"/>
            <w:gridSpan w:val="11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4EB16C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073779A" w14:textId="4D9E9B28" w:rsidR="006B364C" w:rsidRPr="006B364C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B364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EPW2, EPW3, EPU1 EPU2 EU3 EPK1</w:t>
            </w:r>
          </w:p>
        </w:tc>
      </w:tr>
      <w:tr w:rsidR="006B364C" w:rsidRPr="009E5CA5" w14:paraId="515712B6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72E96AB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Egzamin ustny na podstawie wcześniej przekazanego zestawu zagadnień obowiązujących podczas egzaminu.</w:t>
            </w:r>
          </w:p>
        </w:tc>
      </w:tr>
      <w:tr w:rsidR="006B364C" w:rsidRPr="009E5CA5" w14:paraId="00A43214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475A769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B364C" w:rsidRPr="009E5CA5" w14:paraId="521E20A4" w14:textId="77777777" w:rsidTr="006B364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621CEF5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A0D4E7E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B8913A2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C32237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D047544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F139104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CAEFBB9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FFBEE07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E76C44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F3151DB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B364C" w:rsidRPr="009E5CA5" w14:paraId="7F05EB10" w14:textId="77777777" w:rsidTr="006B364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8D70493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1BD762CE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0F645CA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72E01EC3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090A84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44E51E2E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C39557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E450125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849E0C7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5410159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9DD58A6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B9E9D51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B364C" w:rsidRPr="009E5CA5" w14:paraId="0DFF87F5" w14:textId="77777777" w:rsidTr="006B364C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117BF53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7138608" w14:textId="77777777" w:rsidR="006B364C" w:rsidRPr="009E5CA5" w:rsidRDefault="006B364C" w:rsidP="006B364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3309A132" w14:textId="77777777" w:rsidR="006B364C" w:rsidRPr="009E5CA5" w:rsidRDefault="006B364C" w:rsidP="006B364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1379CF29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30D231F" w14:textId="77777777" w:rsidR="006B364C" w:rsidRPr="009E5CA5" w:rsidRDefault="006B364C" w:rsidP="006B364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6A09442F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089BCCF" w14:textId="77777777" w:rsidR="006B364C" w:rsidRPr="009E5CA5" w:rsidRDefault="006B364C" w:rsidP="006B364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F1CFCBC" w14:textId="77777777" w:rsidR="006B364C" w:rsidRPr="009E5CA5" w:rsidRDefault="006B364C" w:rsidP="006B364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5618803A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4FC24C3" w14:textId="77777777" w:rsidR="006B364C" w:rsidRPr="009E5CA5" w:rsidRDefault="006B364C" w:rsidP="006B364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1B11B3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182D719" w14:textId="77777777" w:rsidR="006B364C" w:rsidRPr="009E5CA5" w:rsidRDefault="006B364C" w:rsidP="006B364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3382901B" w14:textId="77777777" w:rsidR="006B364C" w:rsidRPr="009E5CA5" w:rsidRDefault="006B364C" w:rsidP="006B364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2DF343A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37E3556F" w14:textId="77777777" w:rsidR="006B364C" w:rsidRPr="009E5CA5" w:rsidRDefault="006B364C" w:rsidP="006B364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515E4A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79B03FD" w14:textId="77777777" w:rsidR="006B364C" w:rsidRPr="009E5CA5" w:rsidRDefault="006B364C" w:rsidP="006B364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0F4E937" w14:textId="77777777" w:rsidR="006B364C" w:rsidRPr="009E5CA5" w:rsidRDefault="006B364C" w:rsidP="006B364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EA39077" w14:textId="77777777" w:rsidR="006B364C" w:rsidRPr="009E5CA5" w:rsidRDefault="006B364C" w:rsidP="006B364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03E9E287" w14:textId="77777777" w:rsidR="006B364C" w:rsidRPr="009E5CA5" w:rsidRDefault="006B364C" w:rsidP="006B364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A3F87C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38083AA" w14:textId="77777777" w:rsidR="006B364C" w:rsidRPr="009E5CA5" w:rsidRDefault="006B364C" w:rsidP="006B364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447E9B2" w14:textId="77777777" w:rsidR="006B364C" w:rsidRPr="009E5CA5" w:rsidRDefault="006B364C" w:rsidP="006B364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35DD42CF" w14:textId="77777777" w:rsidR="006B364C" w:rsidRPr="009E5CA5" w:rsidRDefault="006B364C" w:rsidP="006B364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58BD52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B639627" w14:textId="77777777" w:rsidR="006B364C" w:rsidRPr="009E5CA5" w:rsidRDefault="006B364C" w:rsidP="006B364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16844C2F" w14:textId="77777777" w:rsidR="006B364C" w:rsidRPr="009E5CA5" w:rsidRDefault="006B364C" w:rsidP="006B364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6B5DC5" w14:textId="77777777" w:rsidR="006B364C" w:rsidRPr="009E5CA5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DF93F55" w14:textId="77777777" w:rsidR="006B364C" w:rsidRPr="009E5CA5" w:rsidRDefault="006B364C" w:rsidP="006B364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6B364C" w:rsidRPr="009E5CA5" w14:paraId="30D56D71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0F8105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6B364C" w:rsidRPr="009E5CA5" w14:paraId="4363CBA7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095AB6" w14:textId="77777777" w:rsidR="008F38C7" w:rsidRDefault="008F38C7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Knapińska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J.,</w:t>
            </w:r>
            <w:r w:rsidR="006B364C"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Trybunał Konstytucyjny1982 ‒ 201. Rola Rady Ministrów i Prezesa Rady Ministrów w postępowaniach przed TK oraz w wykonywaniu 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</w:t>
            </w:r>
            <w:r w:rsidR="006B364C"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 monitorowaniu orzeczeń TK, 2018.</w:t>
            </w:r>
          </w:p>
          <w:p w14:paraId="54C5C58C" w14:textId="77777777" w:rsidR="008F38C7" w:rsidRDefault="006B364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Trybunał Konstytucyjny na straży wartości konstytucyjnych 1986 ‒ 2016, </w:t>
            </w:r>
            <w:r w:rsid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8F38C7"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(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red.</w:t>
            </w:r>
            <w:r w:rsidR="008F38C7"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)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R. Piotrowski, A. Szmyt, 2018.</w:t>
            </w:r>
          </w:p>
          <w:p w14:paraId="27E0FB8D" w14:textId="0765AA90" w:rsidR="008F38C7" w:rsidRDefault="006B364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Sagan</w:t>
            </w:r>
            <w:r w:rsid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S.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Prawo konstytucyjne Rzeczypospolitej Polskiej, Wyd. 2., Warszawa, "LexisNexis", 200</w:t>
            </w:r>
            <w:r w:rsidR="0048665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; </w:t>
            </w:r>
          </w:p>
          <w:p w14:paraId="3D8D6C39" w14:textId="77777777" w:rsidR="008F38C7" w:rsidRDefault="006B364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Skrzydło</w:t>
            </w:r>
            <w:r w:rsid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W.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Polskie prawo konstytucyjne, Lublin 2010</w:t>
            </w:r>
            <w:r w:rsid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72AAC7F2" w14:textId="77777777" w:rsidR="00DB5159" w:rsidRDefault="006B364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Tulej</w:t>
            </w:r>
            <w:r w:rsid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M.</w:t>
            </w:r>
            <w:r w:rsidRPr="008F38C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Orzecznictwo interpretacyjne trybunału konstytucyjnego a reguły wykładni prawa, Warszawa, Wydawnictwo Difin, 2012</w:t>
            </w:r>
            <w:r w:rsid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620FC7CE" w14:textId="50B23961" w:rsidR="00DB5159" w:rsidRDefault="00DB5159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I</w:t>
            </w:r>
            <w:r w:rsidR="006B364C" w:rsidRP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nformacja o istotnych problemach wynikających z działalności i orzecznictwa Trybunału Konstytucyjnego </w:t>
            </w:r>
            <w:r w:rsidR="0048665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2003-2023.</w:t>
            </w:r>
            <w:r w:rsidR="006B364C" w:rsidRP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Warszawa, Trybunał Konstytucyjny. Wydawnictwa, 2011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61557984" w14:textId="77777777" w:rsidR="00DB5159" w:rsidRDefault="006B364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Alberski</w:t>
            </w:r>
            <w:r w:rsidR="00DB5159" w:rsidRP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R.</w:t>
            </w:r>
            <w:r w:rsidRP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Trybunał Konstytucyjny w polskich systemach politycznych, Wrocław, Wydawnictwo Uniwersytetu Wrocławskiego, 2010</w:t>
            </w:r>
            <w:r w:rsidR="00DB515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5B2C090B" w14:textId="7AA0A5FD" w:rsidR="006B364C" w:rsidRPr="00DB5159" w:rsidRDefault="0048665C" w:rsidP="006B364C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8665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Tom L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  <w:r w:rsidRPr="0048665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, Wybrane orzeczenia Trybunału Konstytucyjnego związane z prawem Unii Europejskiej (2003-2014), Warszawa 2014</w:t>
            </w:r>
          </w:p>
        </w:tc>
      </w:tr>
      <w:tr w:rsidR="006B364C" w:rsidRPr="009E5CA5" w14:paraId="242DBAF3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88ABA5" w14:textId="77777777" w:rsidR="006B364C" w:rsidRPr="009E5CA5" w:rsidRDefault="006B364C" w:rsidP="006B364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E5CA5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6B364C" w:rsidRPr="009E5CA5" w14:paraId="5C0D6F33" w14:textId="77777777" w:rsidTr="006B364C">
        <w:trPr>
          <w:trHeight w:val="277"/>
          <w:jc w:val="center"/>
        </w:trPr>
        <w:tc>
          <w:tcPr>
            <w:tcW w:w="1132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141F9B" w14:textId="42545180" w:rsidR="006B364C" w:rsidRPr="0048665C" w:rsidRDefault="006B364C" w:rsidP="006B364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B364C" w:rsidRPr="009E5CA5" w14:paraId="4D88306E" w14:textId="77777777" w:rsidTr="006B364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A6FD4F7" w14:textId="77777777" w:rsidR="006B364C" w:rsidRPr="009E5CA5" w:rsidRDefault="006B364C" w:rsidP="006B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lastRenderedPageBreak/>
              <w:t>Nakład pracy studenta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F49CE9C" w14:textId="77777777" w:rsidR="006B364C" w:rsidRPr="009E5CA5" w:rsidRDefault="006B364C" w:rsidP="006B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6B364C" w:rsidRPr="009E5CA5" w14:paraId="51F8C66D" w14:textId="77777777" w:rsidTr="006B364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6CC3E" w14:textId="77777777" w:rsidR="006B364C" w:rsidRPr="009E5CA5" w:rsidRDefault="006B364C" w:rsidP="006B364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65007" w14:textId="614AE424" w:rsidR="006B364C" w:rsidRPr="009E5CA5" w:rsidRDefault="0048665C" w:rsidP="006B364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="006B364C"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:                      10</w:t>
            </w:r>
          </w:p>
        </w:tc>
      </w:tr>
      <w:tr w:rsidR="006B364C" w:rsidRPr="009E5CA5" w14:paraId="5C8419BE" w14:textId="77777777" w:rsidTr="006B364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1320B" w14:textId="77777777" w:rsidR="006B364C" w:rsidRPr="009E5CA5" w:rsidRDefault="006B364C" w:rsidP="006B364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99FCC" w14:textId="4C4E3FC3" w:rsidR="006B364C" w:rsidRPr="009E5CA5" w:rsidRDefault="00F41607" w:rsidP="006B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6B364C" w:rsidRPr="009E5CA5" w14:paraId="5A5C54F6" w14:textId="77777777" w:rsidTr="006B364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C768C" w14:textId="77777777" w:rsidR="006B364C" w:rsidRPr="009E5CA5" w:rsidRDefault="006B364C" w:rsidP="006B364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E5CA5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CC19B" w14:textId="0CBDF334" w:rsidR="006B364C" w:rsidRPr="009E5CA5" w:rsidRDefault="00F41607" w:rsidP="006B3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233452BC" w14:textId="77777777" w:rsidR="006B364C" w:rsidRPr="009E5CA5" w:rsidRDefault="006B364C" w:rsidP="006B364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9E5CA5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956C952" w14:textId="77777777" w:rsidR="006B364C" w:rsidRDefault="006B364C" w:rsidP="006B364C"/>
    <w:p w14:paraId="2357BC13" w14:textId="77777777" w:rsidR="006B364C" w:rsidRDefault="006B364C"/>
    <w:sectPr w:rsidR="006B364C" w:rsidSect="006B3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50BDE" w14:textId="77777777" w:rsidR="009B1B03" w:rsidRDefault="009B1B03">
      <w:pPr>
        <w:spacing w:after="0" w:line="240" w:lineRule="auto"/>
      </w:pPr>
      <w:r>
        <w:separator/>
      </w:r>
    </w:p>
  </w:endnote>
  <w:endnote w:type="continuationSeparator" w:id="0">
    <w:p w14:paraId="100243E4" w14:textId="77777777" w:rsidR="009B1B03" w:rsidRDefault="009B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B97CB" w14:textId="77777777" w:rsidR="004F7AC5" w:rsidRDefault="004F7A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413B" w14:textId="77777777" w:rsidR="004F7AC5" w:rsidRDefault="004F7AC5">
    <w:pPr>
      <w:pStyle w:val="Stopka"/>
    </w:pPr>
  </w:p>
  <w:p w14:paraId="22CB3459" w14:textId="77777777" w:rsidR="004F7AC5" w:rsidRDefault="004F7A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A4A53" w14:textId="77777777" w:rsidR="004F7AC5" w:rsidRDefault="004F7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8025D" w14:textId="77777777" w:rsidR="009B1B03" w:rsidRDefault="009B1B03">
      <w:pPr>
        <w:spacing w:after="0" w:line="240" w:lineRule="auto"/>
      </w:pPr>
      <w:r>
        <w:separator/>
      </w:r>
    </w:p>
  </w:footnote>
  <w:footnote w:type="continuationSeparator" w:id="0">
    <w:p w14:paraId="7FBBE716" w14:textId="77777777" w:rsidR="009B1B03" w:rsidRDefault="009B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60C29" w14:textId="77777777" w:rsidR="004F7AC5" w:rsidRDefault="004F7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321D4" w14:textId="77777777" w:rsidR="004F7AC5" w:rsidRDefault="004F7AC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0A5CD32" w14:textId="77777777" w:rsidR="004F7AC5" w:rsidRDefault="004F7AC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3BDCD1C" w14:textId="77777777" w:rsidR="004F7AC5" w:rsidRPr="00657E22" w:rsidRDefault="009B1B0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3726BC3" w14:textId="77777777" w:rsidR="004F7AC5" w:rsidRPr="00657E22" w:rsidRDefault="009B1B0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9CE157" w14:textId="77777777" w:rsidR="004F7AC5" w:rsidRPr="00657E22" w:rsidRDefault="009B1B0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587DCE13" w14:textId="77777777" w:rsidR="004F7AC5" w:rsidRPr="00657E22" w:rsidRDefault="009B1B0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91AA" w14:textId="77777777" w:rsidR="004F7AC5" w:rsidRDefault="004F7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E7BAB"/>
    <w:multiLevelType w:val="hybridMultilevel"/>
    <w:tmpl w:val="043C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534286">
    <w:abstractNumId w:val="5"/>
  </w:num>
  <w:num w:numId="2" w16cid:durableId="1847285835">
    <w:abstractNumId w:val="3"/>
  </w:num>
  <w:num w:numId="3" w16cid:durableId="1999730240">
    <w:abstractNumId w:val="2"/>
  </w:num>
  <w:num w:numId="4" w16cid:durableId="1560090323">
    <w:abstractNumId w:val="6"/>
  </w:num>
  <w:num w:numId="5" w16cid:durableId="819225286">
    <w:abstractNumId w:val="0"/>
  </w:num>
  <w:num w:numId="6" w16cid:durableId="1631783707">
    <w:abstractNumId w:val="7"/>
  </w:num>
  <w:num w:numId="7" w16cid:durableId="2142187786">
    <w:abstractNumId w:val="4"/>
  </w:num>
  <w:num w:numId="8" w16cid:durableId="77077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4C"/>
    <w:rsid w:val="0048665C"/>
    <w:rsid w:val="004F5342"/>
    <w:rsid w:val="004F7AC5"/>
    <w:rsid w:val="006B364C"/>
    <w:rsid w:val="006D629C"/>
    <w:rsid w:val="008F38C7"/>
    <w:rsid w:val="009B1B03"/>
    <w:rsid w:val="00D468A4"/>
    <w:rsid w:val="00DB5159"/>
    <w:rsid w:val="00F4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69064"/>
  <w15:chartTrackingRefBased/>
  <w15:docId w15:val="{C9A9DD78-6CC9-47B8-A680-D454B68E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64C"/>
  </w:style>
  <w:style w:type="paragraph" w:styleId="Nagwek1">
    <w:name w:val="heading 1"/>
    <w:basedOn w:val="Normalny"/>
    <w:next w:val="Normalny"/>
    <w:link w:val="Nagwek1Znak"/>
    <w:uiPriority w:val="9"/>
    <w:qFormat/>
    <w:rsid w:val="006B3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3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3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3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3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3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3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3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3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3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3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3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36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36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36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36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36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36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3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3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3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3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36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36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36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3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36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364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6B3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364C"/>
  </w:style>
  <w:style w:type="paragraph" w:styleId="Stopka">
    <w:name w:val="footer"/>
    <w:basedOn w:val="Normalny"/>
    <w:link w:val="StopkaZnak"/>
    <w:uiPriority w:val="99"/>
    <w:semiHidden/>
    <w:unhideWhenUsed/>
    <w:rsid w:val="006B3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3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2025-02-06T10:30:00Z</dcterms:created>
  <dcterms:modified xsi:type="dcterms:W3CDTF">2025-07-11T06:55:00Z</dcterms:modified>
</cp:coreProperties>
</file>