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2"/>
        <w:gridCol w:w="363"/>
        <w:gridCol w:w="622"/>
        <w:gridCol w:w="756"/>
        <w:gridCol w:w="532"/>
        <w:gridCol w:w="725"/>
        <w:gridCol w:w="1279"/>
        <w:gridCol w:w="151"/>
        <w:gridCol w:w="1605"/>
        <w:gridCol w:w="510"/>
        <w:gridCol w:w="1112"/>
        <w:gridCol w:w="403"/>
        <w:gridCol w:w="333"/>
        <w:gridCol w:w="1674"/>
      </w:tblGrid>
      <w:tr w:rsidR="007436CE" w:rsidRPr="00A3613C" w14:paraId="5F85D352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E6BF600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C9671F" w14:textId="376E3D20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Publiczne prawo konkurencji </w:t>
            </w:r>
          </w:p>
        </w:tc>
      </w:tr>
      <w:tr w:rsidR="007436CE" w:rsidRPr="00A3613C" w14:paraId="7CF9D5D4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1923C0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7D5384" w14:textId="6EC53DC5" w:rsidR="007436CE" w:rsidRPr="00A3613C" w:rsidRDefault="009B0F02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7436C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7436CE" w:rsidRPr="00A3613C" w14:paraId="2D1C42D9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78D0EEB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820C3D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7436CE" w:rsidRPr="00A3613C" w14:paraId="10EE2EF3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03D4BA3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8B66A9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7436CE" w:rsidRPr="00A3613C" w14:paraId="4EABE285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C8BD3AE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4484EA" w14:textId="2A0442F4" w:rsidR="007436CE" w:rsidRPr="00A3613C" w:rsidRDefault="00CD3941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(do wyboru)</w:t>
            </w:r>
          </w:p>
        </w:tc>
      </w:tr>
      <w:tr w:rsidR="007436CE" w:rsidRPr="00A3613C" w14:paraId="201877C7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31DD62B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ADFEE6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7436CE" w:rsidRPr="00A3613C" w14:paraId="4161E301" w14:textId="77777777" w:rsidTr="00184160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B7C5F0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316E50" w14:textId="3DE4649C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</w:t>
            </w:r>
          </w:p>
        </w:tc>
      </w:tr>
      <w:tr w:rsidR="007436CE" w:rsidRPr="00A3613C" w14:paraId="5661FEFD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4E8570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7436CE" w:rsidRPr="00A3613C" w14:paraId="79932B64" w14:textId="77777777" w:rsidTr="00184160">
        <w:trPr>
          <w:trHeight w:val="30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8801FEF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55B624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396443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C8285E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C189AB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CB580F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FE29B6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7436CE" w:rsidRPr="00A3613C" w14:paraId="2119D919" w14:textId="77777777" w:rsidTr="00184160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F49A56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D18439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CA5447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0FEBE7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D9DB08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B47AC6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D6F8F7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436CE" w:rsidRPr="00A3613C" w14:paraId="411AF6DE" w14:textId="77777777" w:rsidTr="00184160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AA64DA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EBF80E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980A7A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D6B88B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729E9E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3BB917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3868D7" w14:textId="77777777" w:rsidR="007436CE" w:rsidRPr="00A3613C" w:rsidRDefault="007436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436CE" w:rsidRPr="00A3613C" w14:paraId="097F7B99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7D78AB" w14:textId="77777777" w:rsidR="007436CE" w:rsidRPr="00A3613C" w:rsidRDefault="007436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8AFFAD" w14:textId="4215E764" w:rsidR="007436CE" w:rsidRPr="00A3613C" w:rsidRDefault="007436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6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znajomość podstawowych zagadnień z zakresu prawa: gospodarczo publicznego, cywilnego, administracyjnego i postępowania administracyjnego</w:t>
            </w:r>
          </w:p>
        </w:tc>
      </w:tr>
      <w:tr w:rsidR="007436CE" w:rsidRPr="00A3613C" w14:paraId="008AAC81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B557B2" w14:textId="77777777" w:rsidR="007436CE" w:rsidRPr="00A3613C" w:rsidRDefault="007436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74D6F7" w14:textId="33AA12BA" w:rsidR="007436CE" w:rsidRPr="007436CE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6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zrozumienie zagadnień dotyczących ingerencji państwa w konkurencję jak i samą gospodarkę</w:t>
            </w:r>
          </w:p>
          <w:p w14:paraId="19F253EF" w14:textId="7030EE66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6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z najistotniejszymi zagadnieniami dotyczącymi konkurencji oraz instrumentami prawnymi służącymi jej realizacji, poznanie regulacji prawnych, funkcji i zadań organów administracji publicznej w systemie ochrony konkurencji.</w:t>
            </w:r>
          </w:p>
        </w:tc>
      </w:tr>
      <w:tr w:rsidR="007436CE" w:rsidRPr="00A3613C" w14:paraId="2FF2CAD0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087893" w14:textId="77777777" w:rsidR="007436CE" w:rsidRPr="00A3613C" w:rsidRDefault="007436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068395" w14:textId="5E01D3D1" w:rsidR="007436CE" w:rsidRPr="00A3613C" w:rsidRDefault="001C24FE" w:rsidP="001C24F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Wykład konwersatoryjny. </w:t>
            </w:r>
            <w:r w:rsidRPr="001C24F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praktyczne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: a</w:t>
            </w:r>
            <w:r w:rsidRPr="001C24F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naliza przypadków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a</w:t>
            </w:r>
            <w:r w:rsidRPr="001C24F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naliza tekstó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w, d</w:t>
            </w:r>
            <w:r w:rsidRPr="001C24F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yskusja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p</w:t>
            </w:r>
            <w:r w:rsidRPr="001C24F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rezentacja multimedialna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s</w:t>
            </w:r>
            <w:r w:rsidRPr="001C24F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tudium przypadku</w:t>
            </w:r>
          </w:p>
        </w:tc>
      </w:tr>
      <w:tr w:rsidR="007436CE" w:rsidRPr="00A3613C" w14:paraId="69754442" w14:textId="77777777" w:rsidTr="00184160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5B65AE" w14:textId="77777777" w:rsidR="007436CE" w:rsidRPr="00A3613C" w:rsidRDefault="007436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588F11" w14:textId="77777777" w:rsidR="007436CE" w:rsidRPr="00A3613C" w:rsidRDefault="007436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7436CE" w:rsidRPr="00A3613C" w14:paraId="285EEB3D" w14:textId="77777777" w:rsidTr="00184160">
        <w:trPr>
          <w:trHeight w:val="18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C883F3" w14:textId="77777777" w:rsidR="007436CE" w:rsidRPr="00A3613C" w:rsidRDefault="007436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7AD14C" w14:textId="77777777" w:rsidR="007436CE" w:rsidRPr="00A3613C" w:rsidRDefault="007436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BC5084" w14:textId="77777777" w:rsidR="007436CE" w:rsidRPr="00A3613C" w:rsidRDefault="007436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698DD4" w14:textId="77777777" w:rsidR="007436CE" w:rsidRDefault="007436CE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  <w:p w14:paraId="5A72C87E" w14:textId="77777777" w:rsidR="007436CE" w:rsidRPr="00A3613C" w:rsidRDefault="007436CE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Student: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8278BF" w14:textId="77777777" w:rsidR="007436CE" w:rsidRPr="00A3613C" w:rsidRDefault="007436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7436CE" w:rsidRPr="00A3613C" w14:paraId="2502B79B" w14:textId="77777777" w:rsidTr="001C24FE">
        <w:trPr>
          <w:trHeight w:val="381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73514F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85" w:type="dxa"/>
            <w:gridSpan w:val="2"/>
            <w:vAlign w:val="center"/>
          </w:tcPr>
          <w:p w14:paraId="4F033A59" w14:textId="2F6B131D" w:rsidR="007436CE" w:rsidRPr="002A00C9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K_W0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E2470B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08CC3B41" w14:textId="149303CB" w:rsidR="007436CE" w:rsidRPr="007436CE" w:rsidRDefault="007436CE" w:rsidP="007436CE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6CE">
              <w:rPr>
                <w:rFonts w:ascii="Times New Roman" w:hAnsi="Times New Roman"/>
                <w:sz w:val="20"/>
                <w:szCs w:val="20"/>
              </w:rPr>
              <w:t>definiuje podstawowe pojęcia publicznego prawa konkurencji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09E051" w14:textId="77777777" w:rsidR="007436CE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Sprawdzian pisemny; </w:t>
            </w:r>
          </w:p>
          <w:p w14:paraId="7BEF43A3" w14:textId="77777777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</w:t>
            </w:r>
          </w:p>
        </w:tc>
      </w:tr>
      <w:tr w:rsidR="007436CE" w:rsidRPr="00A3613C" w14:paraId="28082C6E" w14:textId="77777777" w:rsidTr="00184160">
        <w:trPr>
          <w:trHeight w:val="336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4A84A8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69D00894" w14:textId="707DE4F6" w:rsidR="007436CE" w:rsidRPr="002A00C9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K_W0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E6172A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00C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52139AB2" w14:textId="670534B9" w:rsidR="007436CE" w:rsidRPr="007436CE" w:rsidRDefault="007436CE" w:rsidP="007436CE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436CE">
              <w:rPr>
                <w:rFonts w:ascii="Times New Roman" w:hAnsi="Times New Roman"/>
                <w:sz w:val="20"/>
                <w:szCs w:val="20"/>
              </w:rPr>
              <w:t>ma uporządkowaną wiedzę na temat prawa konkurencji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52282FE" w14:textId="77777777" w:rsidR="007436CE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prezentacja</w:t>
            </w:r>
          </w:p>
        </w:tc>
      </w:tr>
      <w:tr w:rsidR="007436CE" w:rsidRPr="00A3613C" w14:paraId="761A0E07" w14:textId="77777777" w:rsidTr="00184160">
        <w:trPr>
          <w:trHeight w:val="205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A8186E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85" w:type="dxa"/>
            <w:gridSpan w:val="2"/>
            <w:vAlign w:val="center"/>
          </w:tcPr>
          <w:p w14:paraId="34D1C2C8" w14:textId="77777777" w:rsidR="007436CE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 U0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  <w:p w14:paraId="5FBDFE4A" w14:textId="3269CA32" w:rsidR="007436CE" w:rsidRPr="002A00C9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436CE"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K_ 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D13DEB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74411C76" w14:textId="18551850" w:rsidR="007436CE" w:rsidRPr="001C24FE" w:rsidRDefault="007436CE" w:rsidP="007436C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C24FE">
              <w:rPr>
                <w:rFonts w:ascii="Times New Roman" w:hAnsi="Times New Roman"/>
                <w:sz w:val="20"/>
                <w:szCs w:val="20"/>
              </w:rPr>
              <w:t>posiada umiejętności obserwowania, wyszukiwania i przetwarzania informacji nt. stosunków prawa gospodarczego przy użyciu różnych źródeł i ich interpretowania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0EDCEA3" w14:textId="77777777" w:rsidR="007436CE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Opracowanie wniosku</w:t>
            </w:r>
          </w:p>
          <w:p w14:paraId="3E1CE8C1" w14:textId="77777777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prezentacja</w:t>
            </w:r>
          </w:p>
        </w:tc>
      </w:tr>
      <w:tr w:rsidR="007436CE" w:rsidRPr="00A3613C" w14:paraId="7CD822F9" w14:textId="77777777" w:rsidTr="00184160">
        <w:trPr>
          <w:trHeight w:val="12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9906A5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66AA4565" w14:textId="77777777" w:rsidR="007436CE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K_U0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  <w:p w14:paraId="5B13BAD7" w14:textId="0727D4F1" w:rsidR="007436CE" w:rsidRPr="001C24FE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436C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K_U0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F3A54C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04190A43" w14:textId="139282D7" w:rsidR="007436CE" w:rsidRPr="001C24FE" w:rsidRDefault="007436CE" w:rsidP="007436C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C24FE">
              <w:rPr>
                <w:rFonts w:ascii="Times New Roman" w:hAnsi="Times New Roman"/>
                <w:sz w:val="20"/>
                <w:szCs w:val="20"/>
              </w:rPr>
              <w:t xml:space="preserve">potrafi wykorzystywać i integrować wiedzę z zakresu prawa konkurencji w celu analizy złożonych problemów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AB61EA" w14:textId="77777777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prezentacja</w:t>
            </w:r>
          </w:p>
        </w:tc>
      </w:tr>
      <w:tr w:rsidR="007436CE" w:rsidRPr="00A3613C" w14:paraId="408D3310" w14:textId="77777777" w:rsidTr="00184160">
        <w:trPr>
          <w:trHeight w:val="200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C2A9EA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68FD286F" w14:textId="30DB63FB" w:rsidR="007436CE" w:rsidRPr="002A00C9" w:rsidRDefault="007436CE" w:rsidP="007436CE">
            <w:pPr>
              <w:pStyle w:val="Punktygwne"/>
              <w:spacing w:before="0" w:after="0"/>
              <w:rPr>
                <w:b w:val="0"/>
                <w:bCs/>
                <w:sz w:val="20"/>
                <w:szCs w:val="20"/>
              </w:rPr>
            </w:pPr>
            <w:r w:rsidRPr="002A00C9">
              <w:rPr>
                <w:b w:val="0"/>
                <w:bCs/>
                <w:sz w:val="20"/>
                <w:szCs w:val="20"/>
                <w:lang w:val="en-US"/>
              </w:rPr>
              <w:t>K_ U0</w:t>
            </w:r>
            <w:r>
              <w:rPr>
                <w:b w:val="0"/>
                <w:bCs/>
                <w:sz w:val="20"/>
                <w:szCs w:val="20"/>
                <w:lang w:val="en-US"/>
              </w:rPr>
              <w:t>4</w:t>
            </w:r>
          </w:p>
          <w:p w14:paraId="32165603" w14:textId="77777777" w:rsidR="007436CE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K_U0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  <w:p w14:paraId="53050D87" w14:textId="65FCF616" w:rsidR="007436CE" w:rsidRPr="002A00C9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4E0C5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636849C4" w14:textId="76B23A69" w:rsidR="007436CE" w:rsidRPr="001C24FE" w:rsidRDefault="007436CE" w:rsidP="007436CE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1C24FE">
              <w:rPr>
                <w:rFonts w:ascii="Times New Roman" w:hAnsi="Times New Roman"/>
                <w:sz w:val="20"/>
                <w:szCs w:val="2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2E2C430" w14:textId="77777777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7436CE" w:rsidRPr="00A3613C" w14:paraId="366BC970" w14:textId="77777777" w:rsidTr="00184160">
        <w:trPr>
          <w:trHeight w:val="58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922CC3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85" w:type="dxa"/>
            <w:gridSpan w:val="2"/>
            <w:vMerge w:val="restart"/>
            <w:tcBorders>
              <w:left w:val="single" w:sz="4" w:space="0" w:color="auto"/>
            </w:tcBorders>
          </w:tcPr>
          <w:p w14:paraId="49CC2708" w14:textId="77777777" w:rsidR="007436CE" w:rsidRDefault="007436CE" w:rsidP="007436CE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80230DA" w14:textId="77777777" w:rsidR="007436CE" w:rsidRDefault="007436CE" w:rsidP="007436CE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718F7F5" w14:textId="77777777" w:rsidR="007436CE" w:rsidRPr="002A00C9" w:rsidRDefault="007436CE" w:rsidP="007436CE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K_K0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ED46E6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60C5B7AD" w14:textId="77777777" w:rsidR="007436CE" w:rsidRPr="001C24FE" w:rsidRDefault="007436CE" w:rsidP="007436CE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C24FE">
              <w:rPr>
                <w:rFonts w:ascii="Times New Roman" w:hAnsi="Times New Roman" w:cs="Times New Roman"/>
                <w:sz w:val="20"/>
                <w:szCs w:val="20"/>
              </w:rPr>
              <w:t>zachowuje krytycyzm w ocenie rozwiązań legislacyjnych dotyczących  funkcjonowania przepis</w:t>
            </w:r>
            <w:r w:rsidRPr="001C24FE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1C24FE">
              <w:rPr>
                <w:rFonts w:ascii="Times New Roman" w:hAnsi="Times New Roman" w:cs="Times New Roman"/>
                <w:sz w:val="20"/>
                <w:szCs w:val="20"/>
              </w:rPr>
              <w:t xml:space="preserve">w regulujących proces inwestycyjno-budowlany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C2444B0" w14:textId="77777777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</w:t>
            </w:r>
          </w:p>
        </w:tc>
      </w:tr>
      <w:tr w:rsidR="007436CE" w:rsidRPr="00A3613C" w14:paraId="1BA1E5C5" w14:textId="77777777" w:rsidTr="00184160">
        <w:trPr>
          <w:trHeight w:val="53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1B9BB0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Merge/>
            <w:tcBorders>
              <w:left w:val="single" w:sz="4" w:space="0" w:color="auto"/>
            </w:tcBorders>
          </w:tcPr>
          <w:p w14:paraId="1E308C27" w14:textId="77777777" w:rsidR="007436CE" w:rsidRPr="00D54C83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7D6625" w14:textId="77777777" w:rsidR="007436CE" w:rsidRPr="00A3613C" w:rsidRDefault="007436CE" w:rsidP="007436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30C47933" w14:textId="77777777" w:rsidR="007436CE" w:rsidRPr="002A00C9" w:rsidRDefault="007436CE" w:rsidP="007436CE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A00C9">
              <w:rPr>
                <w:rFonts w:ascii="Times New Roman" w:hAnsi="Times New Roman" w:cs="Times New Roman"/>
                <w:sz w:val="20"/>
                <w:szCs w:val="20"/>
              </w:rPr>
              <w:t>zachowuje krytycyzm w ocenie orzecznictwa sądowego dotyczącego problematyki będącej przedmiotem wykładu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C6A789C" w14:textId="77777777" w:rsidR="007436CE" w:rsidRPr="00A3613C" w:rsidRDefault="007436CE" w:rsidP="007436C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</w:t>
            </w:r>
          </w:p>
        </w:tc>
      </w:tr>
      <w:tr w:rsidR="007436CE" w:rsidRPr="00A3613C" w14:paraId="42623445" w14:textId="77777777" w:rsidTr="00184160">
        <w:trPr>
          <w:trHeight w:val="360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F87C07" w14:textId="77777777" w:rsidR="007436CE" w:rsidRPr="00A3613C" w:rsidRDefault="007436CE" w:rsidP="007436C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BADAA1" w14:textId="77777777" w:rsidR="007436CE" w:rsidRDefault="007436CE" w:rsidP="007436C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7436CE" w:rsidRPr="00A3613C" w14:paraId="4F77373D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7C167A" w14:textId="77777777" w:rsidR="007436CE" w:rsidRPr="00A3613C" w:rsidRDefault="007436CE" w:rsidP="007436C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7436CE" w:rsidRPr="00A3613C" w14:paraId="5A3C62DA" w14:textId="77777777" w:rsidTr="001C24FE">
        <w:trPr>
          <w:trHeight w:val="612"/>
          <w:jc w:val="center"/>
        </w:trPr>
        <w:tc>
          <w:tcPr>
            <w:tcW w:w="9057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B8EEEBC" w14:textId="1CA65303" w:rsidR="007436C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Ewolucyjny proces rozwoju publicznoprawnej ochrony konkurencji. Wpływ zmian ustroju gospodarczego na konkurencję. Ogólna charakterystyka ustawy z 1987 r., 1990 r. i 2007 r.</w:t>
            </w:r>
            <w:r>
              <w:t xml:space="preserve">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Cele ustawy o ochronie konkurencji i konsumentów i ważniejsze wyłączenia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tekstów.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697864" w14:textId="3766B0A4" w:rsidR="007436CE" w:rsidRPr="00A3613C" w:rsidRDefault="007436CE" w:rsidP="007436C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1C24FE" w:rsidRPr="00A3613C" w14:paraId="1263F6DC" w14:textId="77777777" w:rsidTr="001C24FE">
        <w:trPr>
          <w:trHeight w:val="389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71FB0F8E" w14:textId="63392775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Organizacja ochrony konkurencji  i konsumentów: Prezes Urzędu Ochrony Konkurencji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 Konsumentów.  Sąd ochrony konkurencji i konsumentów. Krajowa Rada Rzeczników Konsumentów. Rzecznik konsumentów    i samorząd terytorialny. Specjalne uprawnienia procesowe Komisji Europejskiej i innych organów UE.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tekstów.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90A057" w14:textId="32B86B8F" w:rsidR="001C24FE" w:rsidRDefault="001C24FE" w:rsidP="007436C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 EPU1 EPU2 EPU3  EPK1 EPK2</w:t>
            </w:r>
          </w:p>
        </w:tc>
      </w:tr>
      <w:tr w:rsidR="001C24FE" w:rsidRPr="00A3613C" w14:paraId="59BD444C" w14:textId="77777777" w:rsidTr="00122FD3">
        <w:trPr>
          <w:trHeight w:val="15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87FC7C5" w14:textId="7A2E3893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Prewencyjna ochrona konkurencji: Tworzenie programów rozwoju konkurencji przez Prezesa UDKIK.</w:t>
            </w:r>
            <w:r>
              <w:t xml:space="preserve">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Prewencyjny nadzór nad koncentracją przedsiębiorców. Prewencyjna ochrona konkurencji poprzez informacje w Dzienniku Urzędowym UOKiK.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1F8850" w14:textId="7114B472" w:rsid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1C24FE" w:rsidRPr="00A3613C" w14:paraId="626F3CBA" w14:textId="77777777" w:rsidTr="001C24FE">
        <w:trPr>
          <w:trHeight w:val="12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78099D9E" w14:textId="403ADA04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Praktyki ograniczające konkurencję:. Zakaz porozumień ograniczających konkurencję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studium przypadku.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F0A824" w14:textId="425B6D8E" w:rsid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 EPU1 EPU2 EPU3  EPK1 EPK2</w:t>
            </w:r>
          </w:p>
        </w:tc>
      </w:tr>
      <w:tr w:rsidR="001C24FE" w:rsidRPr="00A3613C" w14:paraId="106580E2" w14:textId="77777777" w:rsidTr="002145B3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3D8CEA4F" w14:textId="67016C8F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Wyłączenia bagatelne. Wyłączenia grupowe. Zakaz nadużywania pozycji dominujące.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Decyzje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 sprawach</w:t>
            </w:r>
            <w:r>
              <w:t xml:space="preserve">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praktyk ograniczających konkurencji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05B7B5" w14:textId="27AE5F83" w:rsid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1C24FE" w:rsidRPr="00A3613C" w14:paraId="685A9C42" w14:textId="77777777" w:rsidTr="001C24FE">
        <w:trPr>
          <w:trHeight w:val="27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FD3A59D" w14:textId="0F7C6C11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Zakaz praktyk naruszające zbiorowe interesy konsumentów.</w:t>
            </w:r>
            <w:r>
              <w:t xml:space="preserve">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 praktyk naruszających. Decyzje                                w sprawach praktyk naruszających zbiorowe interesy konsumentów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855D58" w14:textId="6792F942" w:rsid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 EPU1 EPU2 EPU3  EPK1 EPK2</w:t>
            </w:r>
          </w:p>
        </w:tc>
      </w:tr>
      <w:tr w:rsidR="001C24FE" w:rsidRPr="00A3613C" w14:paraId="570FCCF7" w14:textId="77777777" w:rsidTr="008A6677">
        <w:trPr>
          <w:trHeight w:val="27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09404994" w14:textId="4DF80A49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Postępowanie przed Prezesem UOKIK. Postępowanie wyjaśniające, antymonopolowe, antymonopolowe w sprawach praktyk ograniczających konkurencję, w sprawach koncentracji przedsiębiorstw,  praktyk naruszających zbiorowe interesy konsumentów. Odwołanie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od decyzji Prezesa UOKIK.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53772E" w14:textId="2DD0176E" w:rsid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1C24FE" w:rsidRPr="00A3613C" w14:paraId="39B7EFD7" w14:textId="77777777" w:rsidTr="001C24FE">
        <w:trPr>
          <w:trHeight w:val="14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D4B5888" w14:textId="795F1526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Prawo pomocy publicznej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</w:t>
            </w:r>
            <w:r>
              <w:t xml:space="preserve">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analiza orzecznictwa w oparciu o dostępne teksty orzeczeń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901D11" w14:textId="290FE56B" w:rsid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  EPU1 EPU2 EPU3  EPK1 EPK2</w:t>
            </w:r>
          </w:p>
        </w:tc>
      </w:tr>
      <w:tr w:rsidR="001C24FE" w:rsidRPr="00A3613C" w14:paraId="4D8924E1" w14:textId="77777777" w:rsidTr="001C24FE">
        <w:trPr>
          <w:trHeight w:val="76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19A3EF6F" w14:textId="77777777" w:rsidR="001C24FE" w:rsidRPr="001C24FE" w:rsidRDefault="001C24FE" w:rsidP="001C24FE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Geneza. Prawo wspólnotowe. Pojęcie pomocy państwa. Zakaz pomocy państwa. Postępowanie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 sprawach dotyczących pomocy publicznej. Publicznoprawne instytucje w ustawie o zwalczaniu nieuczciwej konkurencji i ustawie o przeciwdziałaniu nieuczciwym praktykom rynkowym.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254306" w14:textId="779643E1" w:rsidR="001C24FE" w:rsidRPr="001C24FE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 EPU1 EPU2 EPU3  EPK1 EPK2</w:t>
            </w:r>
          </w:p>
        </w:tc>
      </w:tr>
      <w:tr w:rsidR="001C24FE" w:rsidRPr="00A3613C" w14:paraId="03A49828" w14:textId="77777777" w:rsidTr="00184160">
        <w:trPr>
          <w:trHeight w:val="144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14B1CA25" w14:textId="77777777" w:rsidR="001C24FE" w:rsidRPr="00D54C83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Formy zaliczenia </w:t>
            </w:r>
          </w:p>
        </w:tc>
      </w:tr>
      <w:tr w:rsidR="001C24FE" w:rsidRPr="00A3613C" w14:paraId="7D0AFF2D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C6DD82C" w14:textId="77777777" w:rsidR="001C24FE" w:rsidRPr="00A3613C" w:rsidRDefault="001C24FE" w:rsidP="001C24F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Kontrola obecności, ocena ciągła (bieżące przygotowanie do zajęć i aktywność), obecność (max.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nieobecność), aktywność na zajęciach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Sprawdzian pisemny – 2 pytania otwarte w oparciu o zagadnienia omawiane podczas zajęć. 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Prezentacja i omówienie podstawowych zagadnień i definicji związanych z procesem inwestycyjno-budowlanym w odniesieniu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do obowiązujących przepisów prawa.</w:t>
            </w:r>
          </w:p>
        </w:tc>
      </w:tr>
      <w:tr w:rsidR="001C24FE" w:rsidRPr="00A3613C" w14:paraId="69D7CD7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9EC5078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1C24FE" w:rsidRPr="00A3613C" w14:paraId="106429AF" w14:textId="77777777" w:rsidTr="00184160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6F1CE62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5874703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1BC2DE2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39113D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7573EB6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90D6ECF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360D8DC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56C4BB6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6A14C26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4F32F23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1C24FE" w:rsidRPr="00A3613C" w14:paraId="216FE9F8" w14:textId="77777777" w:rsidTr="00184160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D9FDB7D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8B43E1A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5BF304E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2ACF767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9C06CE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CBDE540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C10AEFA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71587DC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009D0FF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23A3AAD1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8DCE825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DC2B393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1C24FE" w:rsidRPr="00A3613C" w14:paraId="622C8B4E" w14:textId="77777777" w:rsidTr="00184160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D6F8138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9BD2F0B" w14:textId="77777777" w:rsidR="001C24FE" w:rsidRPr="00A3613C" w:rsidRDefault="001C24FE" w:rsidP="001C24F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09C2697A" w14:textId="77777777" w:rsidR="001C24FE" w:rsidRPr="00A3613C" w:rsidRDefault="001C24FE" w:rsidP="001C24F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25534CE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9D78141" w14:textId="77777777" w:rsidR="001C24FE" w:rsidRPr="00A3613C" w:rsidRDefault="001C24FE" w:rsidP="001C24F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7B8659DA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C31FCB9" w14:textId="77777777" w:rsidR="001C24FE" w:rsidRPr="00A3613C" w:rsidRDefault="001C24FE" w:rsidP="001C24F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54B94136" w14:textId="77777777" w:rsidR="001C24FE" w:rsidRPr="00A3613C" w:rsidRDefault="001C24FE" w:rsidP="001C24F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6207A622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5A7D474F" w14:textId="77777777" w:rsidR="001C24FE" w:rsidRPr="00A3613C" w:rsidRDefault="001C24FE" w:rsidP="001C24F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257D31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0406BF6" w14:textId="77777777" w:rsidR="001C24FE" w:rsidRPr="00A3613C" w:rsidRDefault="001C24FE" w:rsidP="001C24FE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27A87D1" w14:textId="77777777" w:rsidR="001C24FE" w:rsidRPr="00A3613C" w:rsidRDefault="001C24FE" w:rsidP="001C24FE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11B959C2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0EB5327C" w14:textId="77777777" w:rsidR="001C24FE" w:rsidRPr="00A3613C" w:rsidRDefault="001C24FE" w:rsidP="001C24FE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5E6BB4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956BC1F" w14:textId="77777777" w:rsidR="001C24FE" w:rsidRPr="00A3613C" w:rsidRDefault="001C24FE" w:rsidP="001C24F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F7BC209" w14:textId="77777777" w:rsidR="001C24FE" w:rsidRPr="00A3613C" w:rsidRDefault="001C24FE" w:rsidP="001C24F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59CFA5C4" w14:textId="77777777" w:rsidR="001C24FE" w:rsidRPr="00A3613C" w:rsidRDefault="001C24FE" w:rsidP="001C24F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0E172985" w14:textId="77777777" w:rsidR="001C24FE" w:rsidRPr="00A3613C" w:rsidRDefault="001C24FE" w:rsidP="001C24F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A09A93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156C947" w14:textId="77777777" w:rsidR="001C24FE" w:rsidRPr="00A3613C" w:rsidRDefault="001C24FE" w:rsidP="001C24F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9747465" w14:textId="77777777" w:rsidR="001C24FE" w:rsidRPr="00A3613C" w:rsidRDefault="001C24FE" w:rsidP="001C24F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13A22B19" w14:textId="77777777" w:rsidR="001C24FE" w:rsidRPr="00A3613C" w:rsidRDefault="001C24FE" w:rsidP="001C24F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5C20D8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C64D23E" w14:textId="77777777" w:rsidR="001C24FE" w:rsidRPr="00A3613C" w:rsidRDefault="001C24FE" w:rsidP="001C24F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2E24AD8" w14:textId="77777777" w:rsidR="001C24FE" w:rsidRPr="00A3613C" w:rsidRDefault="001C24FE" w:rsidP="001C24F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1E5E34C3" w14:textId="77777777" w:rsidR="001C24FE" w:rsidRPr="00A3613C" w:rsidRDefault="001C24FE" w:rsidP="001C24F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1F1ACCB9" w14:textId="77777777" w:rsidR="001C24FE" w:rsidRPr="00A3613C" w:rsidRDefault="001C24FE" w:rsidP="001C24FE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1C24FE" w:rsidRPr="00A3613C" w14:paraId="44E68B7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E90EB8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1C24FE" w:rsidRPr="00A3613C" w14:paraId="0A337A3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C6AE8C" w14:textId="5460479A" w:rsidR="001C24FE" w:rsidRPr="001C24FE" w:rsidRDefault="001C24FE" w:rsidP="001C24F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T. Skoczny (red.) — Ustawa o ochronie konkurencji i konsumentów. Komentarz, Warszawa, 2014, C.H.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Beck, 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yd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1A48FE9B" w14:textId="77777777" w:rsidR="001C24FE" w:rsidRDefault="001C24FE" w:rsidP="001C24F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K. Kohutek K., Sieradzka M. — Ustawa o ochronie konkurencji i konsumentów. Komentarz, Warszawa, 20148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 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Wolterskluwer business,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WYD. 2</w:t>
            </w:r>
          </w:p>
          <w:p w14:paraId="53233EF7" w14:textId="79A9A450" w:rsidR="001C24FE" w:rsidRPr="001C24FE" w:rsidRDefault="001C24FE" w:rsidP="001C24FE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C24F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Ustawa/rozporządzenie w przedmiocie Ustawa o ochronie konkurencji i konsumentów z dnia z dnia 16 lutego 2007 r. Dz.U.2020.1076 t.j. z dnia 2020.06.22</w:t>
            </w:r>
          </w:p>
        </w:tc>
      </w:tr>
      <w:tr w:rsidR="001C24FE" w:rsidRPr="00A3613C" w14:paraId="03AF6F7E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E3C2A7" w14:textId="77777777" w:rsidR="001C24FE" w:rsidRPr="00A3613C" w:rsidRDefault="001C24FE" w:rsidP="001C24F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rozszerzona</w:t>
            </w:r>
          </w:p>
        </w:tc>
      </w:tr>
      <w:tr w:rsidR="001C24FE" w:rsidRPr="00182A45" w14:paraId="2233B2F5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594833" w14:textId="1495CB08" w:rsidR="001C24FE" w:rsidRPr="00182A45" w:rsidRDefault="00180F12" w:rsidP="001C24FE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C24FE" w:rsidRPr="00A3613C" w14:paraId="0CB78D81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4652018" w14:textId="77777777" w:rsidR="001C24FE" w:rsidRPr="00A3613C" w:rsidRDefault="001C24FE" w:rsidP="001C2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68D1050" w14:textId="77777777" w:rsidR="001C24FE" w:rsidRPr="00A3613C" w:rsidRDefault="001C24FE" w:rsidP="001C2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1C24FE" w:rsidRPr="00A3613C" w14:paraId="17D30FF1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BC496E" w14:textId="77777777" w:rsidR="001C24FE" w:rsidRPr="00A3613C" w:rsidRDefault="001C24FE" w:rsidP="001C24F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59EA4F" w14:textId="77777777" w:rsidR="001C24FE" w:rsidRPr="00A3613C" w:rsidRDefault="001C24FE" w:rsidP="001C24F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167EC187" w14:textId="77777777" w:rsidR="001C24FE" w:rsidRPr="00A3613C" w:rsidRDefault="001C24FE" w:rsidP="001C24F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C24FE" w:rsidRPr="00A3613C" w14:paraId="2B81D92A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7575C" w14:textId="77777777" w:rsidR="001C24FE" w:rsidRPr="00A3613C" w:rsidRDefault="001C24FE" w:rsidP="001C24F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7F30D9" w14:textId="77777777" w:rsidR="001C24FE" w:rsidRPr="00A3613C" w:rsidRDefault="001C24FE" w:rsidP="001C2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1C24FE" w:rsidRPr="00A3613C" w14:paraId="3CF2EB3D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4DC20" w14:textId="77777777" w:rsidR="001C24FE" w:rsidRPr="00A3613C" w:rsidRDefault="001C24FE" w:rsidP="001C24F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D967C" w14:textId="77777777" w:rsidR="001C24FE" w:rsidRPr="00A3613C" w:rsidRDefault="001C24FE" w:rsidP="001C2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4E3754FB" w14:textId="77777777" w:rsidR="007436CE" w:rsidRPr="00A3613C" w:rsidRDefault="007436CE" w:rsidP="007436CE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BC40883" w14:textId="77777777" w:rsidR="007436CE" w:rsidRDefault="007436CE" w:rsidP="007436CE"/>
    <w:p w14:paraId="6A874F92" w14:textId="77777777" w:rsidR="007436CE" w:rsidRDefault="007436CE" w:rsidP="007436CE"/>
    <w:p w14:paraId="640486E7" w14:textId="77777777" w:rsidR="007436CE" w:rsidRDefault="007436CE" w:rsidP="007436CE"/>
    <w:p w14:paraId="1CB83738" w14:textId="77777777" w:rsidR="007436CE" w:rsidRDefault="007436CE" w:rsidP="007436CE"/>
    <w:p w14:paraId="622B1704" w14:textId="77777777" w:rsidR="007436CE" w:rsidRDefault="007436CE"/>
    <w:sectPr w:rsidR="007436CE" w:rsidSect="007436CE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421E1" w14:textId="77777777" w:rsidR="00180F12" w:rsidRDefault="00180F12">
      <w:pPr>
        <w:spacing w:after="0" w:line="240" w:lineRule="auto"/>
      </w:pPr>
      <w:r>
        <w:separator/>
      </w:r>
    </w:p>
  </w:endnote>
  <w:endnote w:type="continuationSeparator" w:id="0">
    <w:p w14:paraId="3AF948D3" w14:textId="77777777" w:rsidR="00180F12" w:rsidRDefault="0018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87EA0" w14:textId="77777777" w:rsidR="00633216" w:rsidRDefault="00633216">
    <w:pPr>
      <w:pStyle w:val="Stopka"/>
    </w:pPr>
  </w:p>
  <w:p w14:paraId="761E7EFD" w14:textId="77777777" w:rsidR="00633216" w:rsidRDefault="00633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9AEF3" w14:textId="77777777" w:rsidR="00180F12" w:rsidRDefault="00180F12">
      <w:pPr>
        <w:spacing w:after="0" w:line="240" w:lineRule="auto"/>
      </w:pPr>
      <w:r>
        <w:separator/>
      </w:r>
    </w:p>
  </w:footnote>
  <w:footnote w:type="continuationSeparator" w:id="0">
    <w:p w14:paraId="4D359B0D" w14:textId="77777777" w:rsidR="00180F12" w:rsidRDefault="00180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9A1F3" w14:textId="77777777" w:rsidR="00633216" w:rsidRDefault="0063321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096AB8B" w14:textId="77777777" w:rsidR="00633216" w:rsidRDefault="0063321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F3F92D1" w14:textId="77777777" w:rsidR="00633216" w:rsidRPr="00657E22" w:rsidRDefault="00180F1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4F032EB" w14:textId="77777777" w:rsidR="00633216" w:rsidRPr="00657E22" w:rsidRDefault="00180F1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DDE424A" w14:textId="77777777" w:rsidR="00633216" w:rsidRPr="00657E22" w:rsidRDefault="00180F1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2A1FC11" w14:textId="77777777" w:rsidR="00633216" w:rsidRPr="00657E22" w:rsidRDefault="00180F1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116A2"/>
    <w:multiLevelType w:val="hybridMultilevel"/>
    <w:tmpl w:val="E0C0C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E3E6F"/>
    <w:multiLevelType w:val="hybridMultilevel"/>
    <w:tmpl w:val="E1283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222B3"/>
    <w:multiLevelType w:val="hybridMultilevel"/>
    <w:tmpl w:val="C020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81BFD"/>
    <w:multiLevelType w:val="hybridMultilevel"/>
    <w:tmpl w:val="D35C0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5"/>
  </w:num>
  <w:num w:numId="2" w16cid:durableId="1926576096">
    <w:abstractNumId w:val="3"/>
  </w:num>
  <w:num w:numId="3" w16cid:durableId="862399080">
    <w:abstractNumId w:val="2"/>
  </w:num>
  <w:num w:numId="4" w16cid:durableId="261112814">
    <w:abstractNumId w:val="6"/>
  </w:num>
  <w:num w:numId="5" w16cid:durableId="17388198">
    <w:abstractNumId w:val="0"/>
  </w:num>
  <w:num w:numId="6" w16cid:durableId="87117144">
    <w:abstractNumId w:val="9"/>
  </w:num>
  <w:num w:numId="7" w16cid:durableId="1865901200">
    <w:abstractNumId w:val="4"/>
  </w:num>
  <w:num w:numId="8" w16cid:durableId="670377631">
    <w:abstractNumId w:val="7"/>
  </w:num>
  <w:num w:numId="9" w16cid:durableId="1253466557">
    <w:abstractNumId w:val="8"/>
  </w:num>
  <w:num w:numId="10" w16cid:durableId="860245584">
    <w:abstractNumId w:val="1"/>
  </w:num>
  <w:num w:numId="11" w16cid:durableId="9529010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E"/>
    <w:rsid w:val="00180F12"/>
    <w:rsid w:val="001C24FE"/>
    <w:rsid w:val="002D539A"/>
    <w:rsid w:val="00633216"/>
    <w:rsid w:val="006D629C"/>
    <w:rsid w:val="007436CE"/>
    <w:rsid w:val="0085328E"/>
    <w:rsid w:val="009B0F02"/>
    <w:rsid w:val="00CD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E6CC2"/>
  <w15:chartTrackingRefBased/>
  <w15:docId w15:val="{DB329068-8E75-4BC6-8402-14C5749A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6CE"/>
  </w:style>
  <w:style w:type="paragraph" w:styleId="Nagwek1">
    <w:name w:val="heading 1"/>
    <w:basedOn w:val="Normalny"/>
    <w:next w:val="Normalny"/>
    <w:link w:val="Nagwek1Znak"/>
    <w:uiPriority w:val="9"/>
    <w:qFormat/>
    <w:rsid w:val="007436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6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6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36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36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36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36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36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36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36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36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36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36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36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36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36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36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36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36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3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36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36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36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36C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436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36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36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36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36C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743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36CE"/>
  </w:style>
  <w:style w:type="paragraph" w:styleId="Bezodstpw">
    <w:name w:val="No Spacing"/>
    <w:qFormat/>
    <w:rsid w:val="007436CE"/>
    <w:pPr>
      <w:spacing w:after="0" w:line="240" w:lineRule="auto"/>
    </w:pPr>
  </w:style>
  <w:style w:type="paragraph" w:customStyle="1" w:styleId="Punktygwne">
    <w:name w:val="Punkty główne"/>
    <w:basedOn w:val="Normalny"/>
    <w:qFormat/>
    <w:rsid w:val="007436C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7436C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2025-02-05T11:28:00Z</dcterms:created>
  <dcterms:modified xsi:type="dcterms:W3CDTF">2025-07-11T06:59:00Z</dcterms:modified>
</cp:coreProperties>
</file>